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362" w:rsidP="00F83362" w:rsidRDefault="71244FEF" w14:paraId="53358AB7" w14:textId="77777777">
      <w:pPr>
        <w:pStyle w:val="BpSTitle"/>
      </w:pPr>
      <w:r>
        <w:t>10750</w:t>
      </w:r>
    </w:p>
    <w:p w:rsidR="00F83362" w:rsidP="00F83362" w:rsidRDefault="71244FEF" w14:paraId="78B0BEF7" w14:textId="77777777">
      <w:pPr>
        <w:pStyle w:val="BpSTitle"/>
      </w:pPr>
      <w:r>
        <w:t>Chihuahuan Mixed Salt Desert Scrub</w:t>
      </w:r>
    </w:p>
    <w:p w:rsidR="00F83362" w:rsidP="00F83362" w:rsidRDefault="00F83362" w14:paraId="12B914DC" w14:textId="6FB4C56B">
      <w:r>
        <w:t>BpS Model/Description Version: Aug. 2020</w:t>
      </w:r>
      <w:r>
        <w:tab/>
      </w:r>
      <w:r>
        <w:tab/>
      </w:r>
      <w:r>
        <w:tab/>
      </w:r>
      <w:r>
        <w:tab/>
      </w:r>
      <w:r>
        <w:tab/>
      </w:r>
      <w:r>
        <w:tab/>
      </w:r>
      <w:r>
        <w:tab/>
      </w:r>
    </w:p>
    <w:p w:rsidR="00F83362" w:rsidP="00F83362" w:rsidRDefault="00F83362" w14:paraId="09334A12" w14:textId="77777777"/>
    <w:p w:rsidR="00F83362" w:rsidP="00F83362" w:rsidRDefault="00F83362" w14:paraId="1466E343" w14:textId="77777777"/>
    <w:p w:rsidR="00F83362" w:rsidP="00F83362" w:rsidRDefault="71244FEF" w14:paraId="682B8790" w14:textId="77777777">
      <w:pPr>
        <w:pStyle w:val="InfoPara"/>
      </w:pPr>
      <w:r>
        <w:t>Vegetation Type</w:t>
      </w:r>
    </w:p>
    <w:p w:rsidR="00043930" w:rsidP="00F83362" w:rsidRDefault="00043930" w14:paraId="5051FD1D" w14:textId="77777777">
      <w:pPr>
        <w:pStyle w:val="InfoPara"/>
        <w:rPr>
          <w:b w:val="0"/>
        </w:rPr>
      </w:pPr>
      <w:r w:rsidRPr="00043930">
        <w:rPr>
          <w:b w:val="0"/>
        </w:rPr>
        <w:t>Shrubland</w:t>
      </w:r>
    </w:p>
    <w:p w:rsidR="00F83362" w:rsidP="00F83362" w:rsidRDefault="71244FEF" w14:paraId="47D64D95" w14:textId="089ED4AF">
      <w:pPr>
        <w:pStyle w:val="InfoPara"/>
      </w:pPr>
      <w:bookmarkStart w:name="_GoBack" w:id="0"/>
      <w:bookmarkEnd w:id="0"/>
      <w:r>
        <w:t>Map Zone</w:t>
      </w:r>
    </w:p>
    <w:p w:rsidR="00F83362" w:rsidP="00F83362" w:rsidRDefault="71244FEF" w14:paraId="1B5A0C8A" w14:textId="77777777">
      <w:r>
        <w:t>25</w:t>
      </w:r>
    </w:p>
    <w:p w:rsidR="00F83362" w:rsidP="00F83362" w:rsidRDefault="71244FEF" w14:paraId="7B2A1C60" w14:textId="77777777">
      <w:pPr>
        <w:pStyle w:val="InfoPara"/>
      </w:pPr>
      <w:r>
        <w:t>Geographic Range</w:t>
      </w:r>
    </w:p>
    <w:p w:rsidR="00F83362" w:rsidP="00F83362" w:rsidRDefault="71244FEF" w14:paraId="3F048365" w14:textId="0EC22873">
      <w:r>
        <w:t>This site is primarily found in the floodplains of the Rio Grande and Pecos rivers, possibly also extending into the San Simon of southeastern A</w:t>
      </w:r>
      <w:r w:rsidR="00B61489">
        <w:t>rizona</w:t>
      </w:r>
      <w:r>
        <w:t>. Also associated with saline playas. Reference conditions may be found on the lowland depression in the Tularosa Basin.</w:t>
      </w:r>
    </w:p>
    <w:p w:rsidR="00F83362" w:rsidP="00F83362" w:rsidRDefault="71244FEF" w14:paraId="395732AB" w14:textId="77777777">
      <w:pPr>
        <w:pStyle w:val="InfoPara"/>
      </w:pPr>
      <w:r>
        <w:t>Biophysical Site Description</w:t>
      </w:r>
    </w:p>
    <w:p w:rsidR="00F83362" w:rsidP="00F83362" w:rsidRDefault="71244FEF" w14:paraId="7A2FC55A" w14:textId="75F5243F">
      <w:r>
        <w:t xml:space="preserve">Annual average precipitation ranges from 8-13in. Wide fluctuations from year to year are common, ranging from a low of about </w:t>
      </w:r>
      <w:r w:rsidR="00B61489">
        <w:t xml:space="preserve">2in </w:t>
      </w:r>
      <w:r>
        <w:t xml:space="preserve">to a high of </w:t>
      </w:r>
      <w:r w:rsidR="00B61489">
        <w:t>&gt;</w:t>
      </w:r>
      <w:r>
        <w:t>20in. At least one-half of the annual precipitation comes in the form of rainfall during July, August</w:t>
      </w:r>
      <w:r w:rsidR="00B61489">
        <w:t>,</w:t>
      </w:r>
      <w:r>
        <w:t xml:space="preserve"> and September. Precipitation in the form of snow or sleet averages </w:t>
      </w:r>
      <w:r w:rsidR="00B61489">
        <w:t>&lt;4in</w:t>
      </w:r>
      <w:r>
        <w:t xml:space="preserve"> annually. The average annual air temperature is about 61</w:t>
      </w:r>
      <w:r w:rsidR="00B61489">
        <w:t>˚</w:t>
      </w:r>
      <w:r>
        <w:t>F. Summer maximums usually exceed 100</w:t>
      </w:r>
      <w:r w:rsidR="00B61489">
        <w:t>˚</w:t>
      </w:r>
      <w:r>
        <w:t>F</w:t>
      </w:r>
      <w:r w:rsidR="00B61489">
        <w:t>,</w:t>
      </w:r>
      <w:r>
        <w:t xml:space="preserve"> and winter minimums can go below zero. The average frost-free season exceeds 200 days and extends from April 1 to November 1. Both the temperature regime and rainfall distribution favor warm-season perennial plants on this site. Spring moisture conditions are only occasionally adequate to cause significant growth during this period of the year. High winds from the west and southwest are common from March to June, which further tends to create poor soil moisture conditions in the springtime. Water tables are generally shallow but fluctuate within reach of deep</w:t>
      </w:r>
      <w:r w:rsidR="00B61489">
        <w:t>-</w:t>
      </w:r>
      <w:r>
        <w:t xml:space="preserve">rooted plants and in most </w:t>
      </w:r>
      <w:proofErr w:type="gramStart"/>
      <w:r>
        <w:t>places</w:t>
      </w:r>
      <w:proofErr w:type="gramEnd"/>
      <w:r>
        <w:t xml:space="preserve"> are high enough that salts accumulate on the surface of the soil. The general aspect of this site is that of a wet, grassy meadow. This site is characterized by plants tolerant to saline or alkaline and to wet soil conditions. The topography is level to gently sloping with slopes up to </w:t>
      </w:r>
      <w:r w:rsidR="00B61489">
        <w:t>3%</w:t>
      </w:r>
      <w:r>
        <w:t xml:space="preserve">. The average slope is </w:t>
      </w:r>
      <w:r w:rsidR="00B61489">
        <w:t>1%</w:t>
      </w:r>
      <w:r>
        <w:t xml:space="preserve"> or less. Elevations range from </w:t>
      </w:r>
      <w:r w:rsidR="00B61489">
        <w:t>~</w:t>
      </w:r>
      <w:r>
        <w:t>3</w:t>
      </w:r>
      <w:r w:rsidR="00B61489">
        <w:t>,</w:t>
      </w:r>
      <w:r>
        <w:t>300-4</w:t>
      </w:r>
      <w:r w:rsidR="00B61489">
        <w:t>,</w:t>
      </w:r>
      <w:r>
        <w:t>300ft above sea level. The soils of this site are alluvial. They have surface and sub-soil textures that generally are fine to moderately coarse-textured and are primarily found in the floodplains of the Rio Grande and Pecos river</w:t>
      </w:r>
      <w:r w:rsidR="00B61489">
        <w:t>s</w:t>
      </w:r>
      <w:r>
        <w:t>.</w:t>
      </w:r>
    </w:p>
    <w:p w:rsidR="00F83362" w:rsidP="00F83362" w:rsidRDefault="71244FEF" w14:paraId="74E42464" w14:textId="77777777">
      <w:pPr>
        <w:pStyle w:val="InfoPara"/>
      </w:pPr>
      <w:r>
        <w:t>Vegetation Description</w:t>
      </w:r>
    </w:p>
    <w:p w:rsidR="00F83362" w:rsidP="00F83362" w:rsidRDefault="71244FEF" w14:paraId="1A5CF140" w14:textId="587C8B28">
      <w:r>
        <w:t>The historic plant community type of this site is dominated by alkali sacaton (</w:t>
      </w:r>
      <w:proofErr w:type="spellStart"/>
      <w:r w:rsidRPr="0091028E">
        <w:rPr>
          <w:i/>
        </w:rPr>
        <w:t>Sporobolus</w:t>
      </w:r>
      <w:proofErr w:type="spellEnd"/>
      <w:r w:rsidRPr="0091028E">
        <w:rPr>
          <w:i/>
        </w:rPr>
        <w:t xml:space="preserve"> </w:t>
      </w:r>
      <w:proofErr w:type="spellStart"/>
      <w:r w:rsidRPr="0091028E">
        <w:rPr>
          <w:i/>
        </w:rPr>
        <w:t>airoides</w:t>
      </w:r>
      <w:proofErr w:type="spellEnd"/>
      <w:r>
        <w:t>) and giant sacaton (</w:t>
      </w:r>
      <w:proofErr w:type="spellStart"/>
      <w:r w:rsidRPr="0091028E">
        <w:rPr>
          <w:i/>
        </w:rPr>
        <w:t>Sporobolus</w:t>
      </w:r>
      <w:proofErr w:type="spellEnd"/>
      <w:r w:rsidRPr="0091028E">
        <w:rPr>
          <w:i/>
        </w:rPr>
        <w:t xml:space="preserve"> </w:t>
      </w:r>
      <w:proofErr w:type="spellStart"/>
      <w:r w:rsidRPr="0091028E">
        <w:rPr>
          <w:i/>
        </w:rPr>
        <w:t>wrightii</w:t>
      </w:r>
      <w:proofErr w:type="spellEnd"/>
      <w:r>
        <w:t xml:space="preserve">). Inland </w:t>
      </w:r>
      <w:proofErr w:type="spellStart"/>
      <w:r>
        <w:t>saltgrass</w:t>
      </w:r>
      <w:proofErr w:type="spellEnd"/>
      <w:r>
        <w:t xml:space="preserve"> (</w:t>
      </w:r>
      <w:proofErr w:type="spellStart"/>
      <w:r w:rsidRPr="0091028E">
        <w:rPr>
          <w:i/>
        </w:rPr>
        <w:t>Distichlis</w:t>
      </w:r>
      <w:proofErr w:type="spellEnd"/>
      <w:r w:rsidRPr="0091028E">
        <w:rPr>
          <w:i/>
        </w:rPr>
        <w:t xml:space="preserve"> </w:t>
      </w:r>
      <w:proofErr w:type="spellStart"/>
      <w:r w:rsidRPr="0091028E">
        <w:rPr>
          <w:i/>
        </w:rPr>
        <w:t>spicata</w:t>
      </w:r>
      <w:proofErr w:type="spellEnd"/>
      <w:r>
        <w:t xml:space="preserve">) dominates secondarily, often in discrete patches. Sedges and rushes are common and screwbean mesquite (tornillo; </w:t>
      </w:r>
      <w:r w:rsidRPr="0091028E">
        <w:rPr>
          <w:i/>
        </w:rPr>
        <w:t xml:space="preserve">Prosopis </w:t>
      </w:r>
      <w:proofErr w:type="spellStart"/>
      <w:r w:rsidRPr="0091028E">
        <w:rPr>
          <w:i/>
        </w:rPr>
        <w:t>pubsecens</w:t>
      </w:r>
      <w:proofErr w:type="spellEnd"/>
      <w:r>
        <w:t xml:space="preserve">) may be an important woody species. On the banks of the Rio Grande </w:t>
      </w:r>
      <w:r w:rsidR="00B61489">
        <w:t>R</w:t>
      </w:r>
      <w:r>
        <w:t>iver, this site probably existed in a broad-scale, shifting mosaic with cottonwoods (</w:t>
      </w:r>
      <w:proofErr w:type="spellStart"/>
      <w:r w:rsidRPr="0091028E">
        <w:rPr>
          <w:i/>
        </w:rPr>
        <w:t>Populus</w:t>
      </w:r>
      <w:proofErr w:type="spellEnd"/>
      <w:r w:rsidRPr="0091028E">
        <w:rPr>
          <w:i/>
        </w:rPr>
        <w:t xml:space="preserve"> </w:t>
      </w:r>
      <w:proofErr w:type="spellStart"/>
      <w:r w:rsidRPr="0091028E">
        <w:rPr>
          <w:i/>
        </w:rPr>
        <w:t>deltiodes</w:t>
      </w:r>
      <w:proofErr w:type="spellEnd"/>
      <w:r>
        <w:t xml:space="preserve"> var. </w:t>
      </w:r>
      <w:proofErr w:type="spellStart"/>
      <w:r w:rsidRPr="0091028E">
        <w:rPr>
          <w:i/>
        </w:rPr>
        <w:t>wislizeni</w:t>
      </w:r>
      <w:proofErr w:type="spellEnd"/>
      <w:r>
        <w:t>), mesquite stands (</w:t>
      </w:r>
      <w:r w:rsidRPr="0091028E">
        <w:rPr>
          <w:i/>
        </w:rPr>
        <w:t>Prosopis</w:t>
      </w:r>
      <w:r>
        <w:t xml:space="preserve"> spp.)</w:t>
      </w:r>
      <w:r w:rsidR="00B61489">
        <w:t>,</w:t>
      </w:r>
      <w:r>
        <w:t xml:space="preserve"> and salty bottomland </w:t>
      </w:r>
      <w:r>
        <w:lastRenderedPageBreak/>
        <w:t>grasslands determined by changes in the river course. The grassland community is supported in areas where the depth to the water table is shallow and where flooding and drainage may stabilize salinity levels.</w:t>
      </w:r>
    </w:p>
    <w:p w:rsidR="00F83362" w:rsidP="00F83362" w:rsidRDefault="71244FEF" w14:paraId="41FC0577" w14:textId="77777777">
      <w:pPr>
        <w:pStyle w:val="InfoPara"/>
      </w:pPr>
      <w:r>
        <w:t>BpS Dominant and Indicator Species</w:t>
      </w:r>
    </w:p>
    <w:p>
      <w:r>
        <w:rPr>
          <w:sz w:val="16"/>
        </w:rPr>
        <w:t>Species names are from the NRCS PLANTS database. Check species codes at http://plants.usda.gov.</w:t>
      </w:r>
    </w:p>
    <w:p w:rsidR="00F83362" w:rsidP="00F83362" w:rsidRDefault="71244FEF" w14:paraId="74E889A5" w14:textId="77777777">
      <w:pPr>
        <w:pStyle w:val="InfoPara"/>
      </w:pPr>
      <w:r>
        <w:t>Disturbance Description</w:t>
      </w:r>
    </w:p>
    <w:p w:rsidR="00F83362" w:rsidP="00F83362" w:rsidRDefault="71244FEF" w14:paraId="39A4487B" w14:textId="57F61C49">
      <w:r>
        <w:t xml:space="preserve">Grazing may reduce both giant and alkali sacaton and increase the proportional representation of </w:t>
      </w:r>
      <w:proofErr w:type="spellStart"/>
      <w:r>
        <w:t>saltgrass</w:t>
      </w:r>
      <w:proofErr w:type="spellEnd"/>
      <w:r>
        <w:t>. As salinity increases due to reductions of flood frequency, flood volume</w:t>
      </w:r>
      <w:r w:rsidR="00B61489">
        <w:t>,</w:t>
      </w:r>
      <w:r>
        <w:t xml:space="preserve"> or changes to soils or water table depth, a critical value may be crossed such that giant sacaton cannot survive. Records of fire occurrence in sacaton grasslands are rare.</w:t>
      </w:r>
    </w:p>
    <w:p w:rsidR="00F83362" w:rsidP="00F83362" w:rsidRDefault="71244FEF" w14:paraId="0E2C1CD0"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83362" w:rsidP="00F83362" w:rsidRDefault="71244FEF" w14:paraId="69390255" w14:textId="77777777">
      <w:pPr>
        <w:pStyle w:val="InfoPara"/>
      </w:pPr>
      <w:r>
        <w:t>Scale Description</w:t>
      </w:r>
    </w:p>
    <w:p w:rsidR="00F83362" w:rsidP="00F83362" w:rsidRDefault="71244FEF" w14:paraId="5F85F641" w14:textId="2D24854E">
      <w:r>
        <w:t xml:space="preserve">This vegetation type is limited </w:t>
      </w:r>
      <w:r w:rsidR="00B61489">
        <w:t xml:space="preserve">to </w:t>
      </w:r>
      <w:r>
        <w:t>areas adjacent to riparian areas and playas.</w:t>
      </w:r>
    </w:p>
    <w:p w:rsidR="00F83362" w:rsidP="00F83362" w:rsidRDefault="71244FEF" w14:paraId="5941A307" w14:textId="77777777">
      <w:pPr>
        <w:pStyle w:val="InfoPara"/>
      </w:pPr>
      <w:r>
        <w:t>Adjacency or Identification Concerns</w:t>
      </w:r>
    </w:p>
    <w:p w:rsidR="00F83362" w:rsidP="00F83362" w:rsidRDefault="00F83362" w14:paraId="0F870D64" w14:textId="77777777"/>
    <w:p w:rsidR="00F83362" w:rsidP="00F83362" w:rsidRDefault="71244FEF" w14:paraId="57F0FE57" w14:textId="77777777">
      <w:pPr>
        <w:pStyle w:val="InfoPara"/>
      </w:pPr>
      <w:r>
        <w:t>Issues or Problems</w:t>
      </w:r>
    </w:p>
    <w:p w:rsidR="00F83362" w:rsidP="00F83362" w:rsidRDefault="71244FEF" w14:paraId="0D18752B" w14:textId="77777777">
      <w:r>
        <w:t xml:space="preserve">Fire ecology studies at the population level are badly needed for </w:t>
      </w:r>
      <w:proofErr w:type="spellStart"/>
      <w:r>
        <w:t>fourwing</w:t>
      </w:r>
      <w:proofErr w:type="spellEnd"/>
      <w:r>
        <w:t xml:space="preserve"> saltbush. Historic fire regimes in desert shrublands are difficult to quantify. There is a question as to whether this is an uncharacteristic condition of ATCA shrublands. The disturbance reference to grazing crossing a critical value is assumed to be non-native grazing.</w:t>
      </w:r>
    </w:p>
    <w:p w:rsidR="00F83362" w:rsidP="00F83362" w:rsidRDefault="71244FEF" w14:paraId="709B1F43" w14:textId="77777777">
      <w:pPr>
        <w:pStyle w:val="InfoPara"/>
      </w:pPr>
      <w:r>
        <w:t>Native Uncharacteristic Conditions</w:t>
      </w:r>
    </w:p>
    <w:p w:rsidR="00F83362" w:rsidP="00F83362" w:rsidRDefault="71244FEF" w14:paraId="1617FD00" w14:textId="77777777">
      <w:r>
        <w:t>Shrub cover &gt;10% is uncommon.</w:t>
      </w:r>
    </w:p>
    <w:p w:rsidR="00F83362" w:rsidP="00F83362" w:rsidRDefault="71244FEF" w14:paraId="591382A6" w14:textId="77777777">
      <w:pPr>
        <w:pStyle w:val="InfoPara"/>
      </w:pPr>
      <w:r>
        <w:t>Comments</w:t>
      </w:r>
    </w:p>
    <w:p w:rsidR="00F83362" w:rsidP="00F83362" w:rsidRDefault="71244FEF" w14:paraId="62BAC5B4" w14:textId="3CF36A8D">
      <w:r>
        <w:t>Dave Anderson, WSMR</w:t>
      </w:r>
      <w:r w:rsidR="00B61489">
        <w:t>,</w:t>
      </w:r>
      <w:r>
        <w:t xml:space="preserve"> and Don Sylvester and Brandon </w:t>
      </w:r>
      <w:proofErr w:type="spellStart"/>
      <w:r>
        <w:t>Bestelmeyer</w:t>
      </w:r>
      <w:proofErr w:type="spellEnd"/>
      <w:r>
        <w:t xml:space="preserve">. This model should apply to </w:t>
      </w:r>
      <w:r w:rsidR="00B61489">
        <w:t>map zones</w:t>
      </w:r>
      <w:r>
        <w:t xml:space="preserve"> 26 and 27. Keith Schulz was an additional reviewer of 251075.</w:t>
      </w:r>
    </w:p>
    <w:p w:rsidR="00C707E4" w:rsidP="00F83362" w:rsidRDefault="00C707E4" w14:paraId="456F3717" w14:textId="77777777"/>
    <w:p w:rsidR="00C707E4" w:rsidP="00F83362" w:rsidRDefault="00C707E4" w14:paraId="78E48A9D" w14:textId="77777777"/>
    <w:p w:rsidR="00C707E4" w:rsidP="00F83362" w:rsidRDefault="00C707E4" w14:paraId="3DF50D97" w14:textId="77777777"/>
    <w:p w:rsidR="00F83362" w:rsidP="00F83362" w:rsidRDefault="71244FEF" w14:paraId="50736EB0" w14:textId="77777777">
      <w:pPr>
        <w:pStyle w:val="ReportSection"/>
      </w:pPr>
      <w:r>
        <w:lastRenderedPageBreak/>
        <w:t>Succession Classes</w:t>
      </w:r>
    </w:p>
    <w:p w:rsidR="00F83362" w:rsidP="00F83362" w:rsidRDefault="00F83362" w14:paraId="10B7E56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83362" w:rsidP="00F83362" w:rsidRDefault="00F83362" w14:paraId="68818AFC" w14:textId="77777777">
      <w:pPr>
        <w:pStyle w:val="InfoPara"/>
        <w:pBdr>
          <w:top w:val="single" w:color="auto" w:sz="4" w:space="1"/>
        </w:pBdr>
      </w:pPr>
      <w:r>
        <w:t>Class A</w:t>
      </w:r>
      <w:r>
        <w:tab/>
        <w:t>25</w:t>
      </w:r>
      <w:r w:rsidR="002A3B10">
        <w:tab/>
      </w:r>
      <w:r w:rsidR="002A3B10">
        <w:tab/>
      </w:r>
      <w:r w:rsidR="002A3B10">
        <w:tab/>
      </w:r>
      <w:r w:rsidR="002A3B10">
        <w:tab/>
      </w:r>
      <w:r w:rsidR="004F7795">
        <w:t>Early Development 1 - All Structures</w:t>
      </w:r>
    </w:p>
    <w:p w:rsidR="00F83362" w:rsidP="00F83362" w:rsidRDefault="00F83362" w14:paraId="0E6A446B" w14:textId="77777777"/>
    <w:p w:rsidR="00F83362" w:rsidP="00F83362" w:rsidRDefault="71244FEF" w14:paraId="136B34D7" w14:textId="77777777">
      <w:pPr>
        <w:pStyle w:val="SClassInfoPara"/>
      </w:pPr>
      <w:r>
        <w:t>Indicator Species</w:t>
      </w:r>
    </w:p>
    <w:p w:rsidR="00F83362" w:rsidP="00F83362" w:rsidRDefault="00F83362" w14:paraId="445EEFE4" w14:textId="77777777"/>
    <w:p w:rsidR="00F83362" w:rsidP="00F83362" w:rsidRDefault="71244FEF" w14:paraId="799F3220" w14:textId="77777777">
      <w:pPr>
        <w:pStyle w:val="SClassInfoPara"/>
      </w:pPr>
      <w:r>
        <w:t>Description</w:t>
      </w:r>
    </w:p>
    <w:p w:rsidR="00F83362" w:rsidP="00F83362" w:rsidRDefault="71244FEF" w14:paraId="2185C463" w14:textId="27FE060C">
      <w:r>
        <w:t>Establishing plants, dominated by grasses, sedges</w:t>
      </w:r>
      <w:r w:rsidR="00B61489">
        <w:t>,</w:t>
      </w:r>
      <w:r>
        <w:t xml:space="preserve"> and rushes. Succeeds without disturbance.</w:t>
      </w:r>
    </w:p>
    <w:p w:rsidR="00F83362" w:rsidP="00F83362" w:rsidRDefault="00F83362" w14:paraId="034A6613" w14:textId="77777777"/>
    <w:p>
      <w:r>
        <w:rPr>
          <w:i/>
          <w:u w:val="single"/>
        </w:rPr>
        <w:t>Maximum Tree Size Class</w:t>
      </w:r>
      <w:br/>
      <w:r>
        <w:t>None</w:t>
      </w:r>
    </w:p>
    <w:p w:rsidR="00F83362" w:rsidP="00F83362" w:rsidRDefault="00F83362" w14:paraId="20DA8609" w14:textId="77777777">
      <w:pPr>
        <w:pStyle w:val="InfoPara"/>
        <w:pBdr>
          <w:top w:val="single" w:color="auto" w:sz="4" w:space="1"/>
        </w:pBdr>
      </w:pPr>
      <w:r>
        <w:t>Class B</w:t>
      </w:r>
      <w:r>
        <w:tab/>
        <w:t>34</w:t>
      </w:r>
      <w:r w:rsidR="002A3B10">
        <w:tab/>
      </w:r>
      <w:r w:rsidR="002A3B10">
        <w:tab/>
      </w:r>
      <w:r w:rsidR="002A3B10">
        <w:tab/>
      </w:r>
      <w:r w:rsidR="002A3B10">
        <w:tab/>
      </w:r>
      <w:r w:rsidR="004F7795">
        <w:t>Mid Development 1 - Open</w:t>
      </w:r>
    </w:p>
    <w:p w:rsidR="00F83362" w:rsidP="00F83362" w:rsidRDefault="00F83362" w14:paraId="79667EC1" w14:textId="77777777"/>
    <w:p w:rsidR="00F83362" w:rsidP="00F83362" w:rsidRDefault="71244FEF" w14:paraId="5240437C" w14:textId="77777777">
      <w:pPr>
        <w:pStyle w:val="SClassInfoPara"/>
      </w:pPr>
      <w:r>
        <w:t>Indicator Species</w:t>
      </w:r>
    </w:p>
    <w:p w:rsidR="00F83362" w:rsidP="00F83362" w:rsidRDefault="00F83362" w14:paraId="5AA56B3E" w14:textId="77777777"/>
    <w:p w:rsidR="00F83362" w:rsidP="00F83362" w:rsidRDefault="71244FEF" w14:paraId="54A2BA80" w14:textId="77777777">
      <w:pPr>
        <w:pStyle w:val="SClassInfoPara"/>
      </w:pPr>
      <w:r>
        <w:t>Description</w:t>
      </w:r>
    </w:p>
    <w:p w:rsidR="00F83362" w:rsidP="00F83362" w:rsidRDefault="71244FEF" w14:paraId="0EEB973A" w14:textId="573AAF68">
      <w:r>
        <w:t>Shrubs and cottonwood becoming established and are the upper lifeform. Understory grasses, sedges</w:t>
      </w:r>
      <w:r w:rsidR="00B61489">
        <w:t>,</w:t>
      </w:r>
      <w:r>
        <w:t xml:space="preserve"> and rushes remain a major component. Remains in this class before succeeding without disturbance</w:t>
      </w:r>
    </w:p>
    <w:p w:rsidR="00F83362" w:rsidP="00F83362" w:rsidRDefault="00F83362" w14:paraId="191FBBA1" w14:textId="77777777"/>
    <w:p>
      <w:r>
        <w:rPr>
          <w:i/>
          <w:u w:val="single"/>
        </w:rPr>
        <w:t>Maximum Tree Size Class</w:t>
      </w:r>
      <w:br/>
      <w:r>
        <w:t>None</w:t>
      </w:r>
    </w:p>
    <w:p w:rsidR="00F83362" w:rsidP="00F83362" w:rsidRDefault="00F83362" w14:paraId="36418D24" w14:textId="77777777">
      <w:pPr>
        <w:pStyle w:val="InfoPara"/>
        <w:pBdr>
          <w:top w:val="single" w:color="auto" w:sz="4" w:space="1"/>
        </w:pBdr>
      </w:pPr>
      <w:r>
        <w:t>Class C</w:t>
      </w:r>
      <w:r>
        <w:tab/>
        <w:t>41</w:t>
      </w:r>
      <w:r w:rsidR="002A3B10">
        <w:tab/>
      </w:r>
      <w:r w:rsidR="002A3B10">
        <w:tab/>
      </w:r>
      <w:r w:rsidR="002A3B10">
        <w:tab/>
      </w:r>
      <w:r w:rsidR="002A3B10">
        <w:tab/>
      </w:r>
      <w:r w:rsidR="004F7795">
        <w:t>Late Development 1 - Closed</w:t>
      </w:r>
    </w:p>
    <w:p w:rsidR="00F83362" w:rsidP="00F83362" w:rsidRDefault="00F83362" w14:paraId="670159EE" w14:textId="77777777"/>
    <w:p w:rsidR="00F83362" w:rsidP="00F83362" w:rsidRDefault="71244FEF" w14:paraId="73356DB9" w14:textId="77777777">
      <w:pPr>
        <w:pStyle w:val="SClassInfoPara"/>
      </w:pPr>
      <w:r>
        <w:t>Indicator Species</w:t>
      </w:r>
    </w:p>
    <w:p w:rsidR="00F83362" w:rsidP="00F83362" w:rsidRDefault="00F83362" w14:paraId="6E76B325" w14:textId="77777777"/>
    <w:p w:rsidR="00F83362" w:rsidP="00F83362" w:rsidRDefault="71244FEF" w14:paraId="05FB4999" w14:textId="77777777">
      <w:pPr>
        <w:pStyle w:val="SClassInfoPara"/>
      </w:pPr>
      <w:r>
        <w:t>Description</w:t>
      </w:r>
    </w:p>
    <w:p w:rsidR="00F83362" w:rsidP="00F83362" w:rsidRDefault="71244FEF" w14:paraId="442823F8" w14:textId="29B02D7A">
      <w:r>
        <w:t>Cottonwood are established as the upper</w:t>
      </w:r>
      <w:r w:rsidR="00B61489">
        <w:t>-</w:t>
      </w:r>
      <w:r>
        <w:t>layer canopy species. Flooding may maintain this class</w:t>
      </w:r>
      <w:r w:rsidR="00B61489">
        <w:t xml:space="preserve"> </w:t>
      </w:r>
      <w:r>
        <w:t>or may set it back to a previous class.</w:t>
      </w:r>
    </w:p>
    <w:p w:rsidR="00F83362" w:rsidP="00F83362" w:rsidRDefault="00F83362" w14:paraId="67B700F1"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83362" w:rsidP="00F83362" w:rsidRDefault="71244FEF" w14:paraId="1C04D585" w14:textId="77777777">
      <w:r>
        <w:t xml:space="preserve">Brooks, M.L., T.C. Esque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MT. 17 pp.</w:t>
      </w:r>
    </w:p>
    <w:p w:rsidR="00F83362" w:rsidP="00F83362" w:rsidRDefault="00F83362" w14:paraId="45325741" w14:textId="77777777"/>
    <w:p w:rsidR="00F83362" w:rsidP="00F83362" w:rsidRDefault="71244FEF" w14:paraId="5AC07265" w14:textId="77777777">
      <w:r>
        <w:t>Brown, D.E. and R.A. Minnich. 1986. Fire and creosote bush scrub of the western Sonoran Desert, California. American Midland Naturalist 116: 411-422.</w:t>
      </w:r>
    </w:p>
    <w:p w:rsidR="00F83362" w:rsidP="00F83362" w:rsidRDefault="00F83362" w14:paraId="138D37C9" w14:textId="77777777"/>
    <w:p w:rsidR="00F83362" w:rsidP="00F83362" w:rsidRDefault="71244FEF" w14:paraId="39FC2507" w14:textId="77777777">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F83362" w:rsidP="00F83362" w:rsidRDefault="00F83362" w14:paraId="7A8A0A88" w14:textId="77777777"/>
    <w:p w:rsidR="00F83362" w:rsidP="00F83362" w:rsidRDefault="71244FEF" w14:paraId="7F85FE2F" w14:textId="77777777">
      <w:r>
        <w:t>Dick-Peddie, W.A. 1993. New Mexico vegetation: Past, present, and future. Albuquerque, NM: University of New Mexico Press. 244 pp.</w:t>
      </w:r>
    </w:p>
    <w:p w:rsidR="00F83362" w:rsidP="00F83362" w:rsidRDefault="00F83362" w14:paraId="3E83E323" w14:textId="77777777"/>
    <w:p w:rsidR="00F83362" w:rsidP="00F83362" w:rsidRDefault="71244FEF" w14:paraId="1C3C1B85" w14:textId="77777777">
      <w:r>
        <w:t xml:space="preserve">Howard, J.L. 2003. </w:t>
      </w:r>
      <w:proofErr w:type="spellStart"/>
      <w:r>
        <w:t>Atriplex</w:t>
      </w:r>
      <w:proofErr w:type="spellEnd"/>
      <w:r>
        <w:t xml:space="preserve"> </w:t>
      </w:r>
      <w:proofErr w:type="spellStart"/>
      <w:r>
        <w:t>canescens</w:t>
      </w:r>
      <w:proofErr w:type="spellEnd"/>
      <w:r>
        <w:t>. In: Fire Effects Information System, [Online]. USDA Forest Service, Rocky Mountain Research Station, Fire Sciences Laboratory (Producer). Available: http://www.fs.fed.us/database/feis/ [2005, September 8].</w:t>
      </w:r>
    </w:p>
    <w:p w:rsidR="00F83362" w:rsidP="00F83362" w:rsidRDefault="00F83362" w14:paraId="355846BF" w14:textId="77777777"/>
    <w:p w:rsidR="00F83362" w:rsidP="00F83362" w:rsidRDefault="71244FEF" w14:paraId="1984F897" w14:textId="77777777">
      <w:r>
        <w:t>Henrickson, J. and M.C. Johnston. 1986. Vegetation and community types of the Chihuahuan Desert. Pages 20-39 in: J.C. Barlow, A.M. Powell and B.N. Timmermann, eds. Chihuahuan Desert--U.S. and Mexico, II: Proceedings of the 2nd symposium on resources of the Chihuahuan Desert region; 1983 October 20-21; Alpine, TX. Alpine, TX: Sul Ross State University, Chihuahuan Desert Research Institute.</w:t>
      </w:r>
    </w:p>
    <w:p w:rsidR="00F83362" w:rsidP="00F83362" w:rsidRDefault="00F83362" w14:paraId="7E057C1D" w14:textId="77777777"/>
    <w:p w:rsidR="00F83362" w:rsidP="00F83362" w:rsidRDefault="71244FEF" w14:paraId="4C6BC09F" w14:textId="77777777">
      <w:r>
        <w:t xml:space="preserve">Johnson, K.A. 2000. </w:t>
      </w:r>
      <w:proofErr w:type="spellStart"/>
      <w:r>
        <w:t>Sporobolus</w:t>
      </w:r>
      <w:proofErr w:type="spellEnd"/>
      <w:r>
        <w:t xml:space="preserve"> </w:t>
      </w:r>
      <w:proofErr w:type="spellStart"/>
      <w:r>
        <w:t>airoides</w:t>
      </w:r>
      <w:proofErr w:type="spellEnd"/>
      <w:r>
        <w:t>. In: USDA Forest Service, Rocky Mountain Research Station, Fire Sciences Laboratory (Producer). Available: http://www.fs.fed.us/database/feis/ 2006, September 19.</w:t>
      </w:r>
    </w:p>
    <w:p w:rsidR="00F83362" w:rsidP="00F83362" w:rsidRDefault="00F83362" w14:paraId="418419C1" w14:textId="77777777"/>
    <w:p w:rsidR="00F83362" w:rsidP="00F83362" w:rsidRDefault="71244FEF" w14:paraId="361AE60B" w14:textId="77777777">
      <w:r>
        <w:t>Kuchler, A.W. 1964. Manual to accompany the map of potential natural vegetation of the conterminous United States. American Geographical Society. Spec. Publ. NO. 36. Lib. Congress Cat. Card Num. 64-15417.</w:t>
      </w:r>
    </w:p>
    <w:p w:rsidR="00F83362" w:rsidP="00F83362" w:rsidRDefault="00F83362" w14:paraId="0C1F5437" w14:textId="77777777"/>
    <w:p w:rsidR="00F83362" w:rsidP="00F83362" w:rsidRDefault="71244FEF" w14:paraId="0AD0DBBC" w14:textId="77777777">
      <w:r>
        <w:t>NatureServe. 2007. International Ecological Classification Standard: Terrestrial Ecological Classifications. NatureServe Central Databases. Arlington, VA. Data current as of 10 February 2007.</w:t>
      </w:r>
    </w:p>
    <w:p w:rsidR="00F83362" w:rsidP="00F83362" w:rsidRDefault="00F83362" w14:paraId="61AB1207" w14:textId="77777777"/>
    <w:p w:rsidR="00F83362" w:rsidP="00F83362" w:rsidRDefault="71244FEF" w14:paraId="7BD1C6A0" w14:textId="77777777">
      <w:proofErr w:type="spellStart"/>
      <w:r>
        <w:lastRenderedPageBreak/>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S.S. Sackett and R.C. Wilson. 2000. Chapter 6: Fire in western shrubland, woodland, and grassland ecosystems. Pages 121-160 in: J.K. Brown and J. Kapler-Smith, eds. Wildland fire in ecosystems: effects of fire on flora. Gen. Tech. Rep. RMRS-GTR-42-vol. 2. Ogden, UT: USDA Forest Service, Rocky Mountain Research Station. 257 pp.</w:t>
      </w:r>
    </w:p>
    <w:p w:rsidRPr="00A43E41" w:rsidR="004D5F12" w:rsidP="00F83362" w:rsidRDefault="004D5F12" w14:paraId="79573DC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200E7" w14:textId="77777777" w:rsidR="00EF1E14" w:rsidRDefault="00EF1E14">
      <w:r>
        <w:separator/>
      </w:r>
    </w:p>
  </w:endnote>
  <w:endnote w:type="continuationSeparator" w:id="0">
    <w:p w14:paraId="7B760AA9" w14:textId="77777777" w:rsidR="00EF1E14" w:rsidRDefault="00EF1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6CABE" w14:textId="77777777" w:rsidR="00F83362" w:rsidRDefault="00F83362" w:rsidP="00F8336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965D5" w14:textId="77777777" w:rsidR="00EF1E14" w:rsidRDefault="00EF1E14">
      <w:r>
        <w:separator/>
      </w:r>
    </w:p>
  </w:footnote>
  <w:footnote w:type="continuationSeparator" w:id="0">
    <w:p w14:paraId="1AF4D8E0" w14:textId="77777777" w:rsidR="00EF1E14" w:rsidRDefault="00EF1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8DFB6" w14:textId="77777777" w:rsidR="00A43E41" w:rsidRDefault="00A43E41" w:rsidP="00F8336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707E4"/>
    <w:pPr>
      <w:ind w:left="720"/>
    </w:pPr>
    <w:rPr>
      <w:rFonts w:ascii="Calibri" w:eastAsia="Calibri" w:hAnsi="Calibri"/>
      <w:sz w:val="22"/>
      <w:szCs w:val="22"/>
    </w:rPr>
  </w:style>
  <w:style w:type="character" w:styleId="Hyperlink">
    <w:name w:val="Hyperlink"/>
    <w:rsid w:val="00C707E4"/>
    <w:rPr>
      <w:color w:val="0000FF"/>
      <w:u w:val="single"/>
    </w:rPr>
  </w:style>
  <w:style w:type="paragraph" w:styleId="BalloonText">
    <w:name w:val="Balloon Text"/>
    <w:basedOn w:val="Normal"/>
    <w:link w:val="BalloonTextChar"/>
    <w:uiPriority w:val="99"/>
    <w:semiHidden/>
    <w:unhideWhenUsed/>
    <w:rsid w:val="00B614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4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21673">
      <w:bodyDiv w:val="1"/>
      <w:marLeft w:val="0"/>
      <w:marRight w:val="0"/>
      <w:marTop w:val="0"/>
      <w:marBottom w:val="0"/>
      <w:divBdr>
        <w:top w:val="none" w:sz="0" w:space="0" w:color="auto"/>
        <w:left w:val="none" w:sz="0" w:space="0" w:color="auto"/>
        <w:bottom w:val="none" w:sz="0" w:space="0" w:color="auto"/>
        <w:right w:val="none" w:sz="0" w:space="0" w:color="auto"/>
      </w:divBdr>
    </w:div>
    <w:div w:id="20353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2014-08-21T14:34:00Z</cp:lastPrinted>
  <dcterms:created xsi:type="dcterms:W3CDTF">2017-12-15T00:11:00Z</dcterms:created>
  <dcterms:modified xsi:type="dcterms:W3CDTF">2025-02-12T09:41:16Z</dcterms:modified>
</cp:coreProperties>
</file>