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1143" w:rsidP="005C1143" w:rsidRDefault="005C1143" w14:paraId="776CEC52" w14:textId="0CC36718">
      <w:pPr>
        <w:pStyle w:val="BpSTitle"/>
      </w:pPr>
      <w:r>
        <w:t>11050</w:t>
      </w:r>
    </w:p>
    <w:p w:rsidR="005C1143" w:rsidP="005C1143" w:rsidRDefault="005C1143" w14:paraId="28B2FBA7" w14:textId="77777777">
      <w:pPr>
        <w:pStyle w:val="BpSTitle"/>
      </w:pPr>
      <w:r>
        <w:t>Northern and Central California Dry-Mesic Chaparral</w:t>
      </w:r>
    </w:p>
    <w:p w:rsidR="005C1143" w:rsidP="004372E5" w:rsidRDefault="005C1143" w14:paraId="756D04DD" w14:textId="27367A8C">
      <w:pPr>
        <w:tabs>
          <w:tab w:val="left" w:pos="7200"/>
        </w:tabs>
      </w:pPr>
      <w:r>
        <w:t>BpS Model/Description Version: Aug. 2020</w:t>
      </w:r>
      <w:r w:rsidR="00CB64E2">
        <w:tab/>
      </w:r>
    </w:p>
    <w:p w:rsidR="005C1143" w:rsidP="004372E5" w:rsidRDefault="005C1143" w14:paraId="72609243" w14:textId="77777777">
      <w:pPr>
        <w:tabs>
          <w:tab w:val="left" w:pos="7200"/>
        </w:tabs>
      </w:pPr>
    </w:p>
    <w:p w:rsidR="005C1143" w:rsidP="005C1143" w:rsidRDefault="005C1143" w14:paraId="4352126B" w14:textId="77777777"/>
    <w:p w:rsidR="005C1143" w:rsidP="005C1143" w:rsidRDefault="005C1143" w14:paraId="3E99776D" w14:textId="77777777">
      <w:pPr>
        <w:pStyle w:val="InfoPara"/>
      </w:pPr>
      <w:r>
        <w:t>Vegetation Type</w:t>
      </w:r>
    </w:p>
    <w:p w:rsidR="005C1143" w:rsidP="005C1143" w:rsidRDefault="005C1143" w14:paraId="2087614C" w14:textId="40836331">
      <w:bookmarkStart w:name="_GoBack" w:id="0"/>
      <w:bookmarkEnd w:id="0"/>
      <w:r>
        <w:t>Shrubland</w:t>
      </w:r>
    </w:p>
    <w:p w:rsidR="005C1143" w:rsidP="005C1143" w:rsidRDefault="005C1143" w14:paraId="04AC6C24" w14:textId="77777777">
      <w:pPr>
        <w:pStyle w:val="InfoPara"/>
      </w:pPr>
      <w:r>
        <w:t>Map Zones</w:t>
      </w:r>
    </w:p>
    <w:p w:rsidR="005C1143" w:rsidP="005C1143" w:rsidRDefault="00573C64" w14:paraId="65BD5826" w14:textId="006E578C">
      <w:r>
        <w:t xml:space="preserve">4, </w:t>
      </w:r>
      <w:r w:rsidR="005C1143">
        <w:t>5</w:t>
      </w:r>
    </w:p>
    <w:p w:rsidR="005C1143" w:rsidP="005C1143" w:rsidRDefault="005C1143" w14:paraId="2BEB970D" w14:textId="77777777">
      <w:pPr>
        <w:pStyle w:val="InfoPara"/>
      </w:pPr>
      <w:r>
        <w:t>Geographic Range</w:t>
      </w:r>
    </w:p>
    <w:p w:rsidR="005C1143" w:rsidP="005C1143" w:rsidRDefault="005C1143" w14:paraId="080EA11F" w14:textId="73AF92F5">
      <w:r>
        <w:t>This system occurs throughout California</w:t>
      </w:r>
      <w:r w:rsidR="00CB64E2">
        <w:t>,</w:t>
      </w:r>
      <w:r>
        <w:t xml:space="preserve"> away from the coastal fog belt, and through the northern end of the central valley and into southern Oregon.</w:t>
      </w:r>
    </w:p>
    <w:p w:rsidR="005C1143" w:rsidP="005C1143" w:rsidRDefault="005C1143" w14:paraId="3447DC1B" w14:textId="77777777">
      <w:pPr>
        <w:pStyle w:val="InfoPara"/>
      </w:pPr>
      <w:r>
        <w:t>Biophysical Site Description</w:t>
      </w:r>
    </w:p>
    <w:p w:rsidR="005C1143" w:rsidP="005C1143" w:rsidRDefault="005C1143" w14:paraId="43D3DA57" w14:textId="15C713BD">
      <w:r>
        <w:t>In the north coastal region, chaparral is diminished in extent compared to the southern part of the state. In the Sierra Nevada, chaparral occurs in the foothills on the western slopes.</w:t>
      </w:r>
      <w:r w:rsidR="00066DBE">
        <w:t xml:space="preserve"> </w:t>
      </w:r>
      <w:r>
        <w:t xml:space="preserve">In the coast ranges, chaparral is found largely on interior slopes and in large patches in the Siskiyou, Cascade, and Klamath </w:t>
      </w:r>
      <w:r w:rsidR="00CB64E2">
        <w:t>m</w:t>
      </w:r>
      <w:r>
        <w:t xml:space="preserve">ountains. The northern limits are the dry parts of the Rogue River watershed in Oregon. Annual precipitation should be </w:t>
      </w:r>
      <w:r w:rsidR="00CB64E2">
        <w:t xml:space="preserve">greater </w:t>
      </w:r>
      <w:r>
        <w:t>than in the southern part of the state, up to 100cm.</w:t>
      </w:r>
      <w:r w:rsidR="00066DBE">
        <w:t xml:space="preserve"> </w:t>
      </w:r>
      <w:r>
        <w:t>Dry-mesic chaparral is located in the interior valleys and on xeric, south-facing slopes in the coastal ranges.</w:t>
      </w:r>
    </w:p>
    <w:p w:rsidR="005C1143" w:rsidP="005C1143" w:rsidRDefault="005C1143" w14:paraId="316C0FFA" w14:textId="77777777">
      <w:pPr>
        <w:pStyle w:val="InfoPara"/>
      </w:pPr>
      <w:r>
        <w:t>Vegetation Description</w:t>
      </w:r>
    </w:p>
    <w:p w:rsidR="005C1143" w:rsidP="005C1143" w:rsidRDefault="005C1143" w14:paraId="19ADB188" w14:textId="4EC7CE2C">
      <w:r>
        <w:t xml:space="preserve">Chaparral is composed of woody, </w:t>
      </w:r>
      <w:proofErr w:type="spellStart"/>
      <w:r>
        <w:t>sclerophyllous</w:t>
      </w:r>
      <w:proofErr w:type="spellEnd"/>
      <w:r>
        <w:t xml:space="preserve"> shrubs that generally vary from </w:t>
      </w:r>
      <w:r w:rsidR="00CB64E2">
        <w:t xml:space="preserve">1-4m </w:t>
      </w:r>
      <w:r>
        <w:t xml:space="preserve">in height. Shrub cover is usually dense and continuous, covering vast areas of land. The xeric, south-facing chaparral vegetation is primarily composed of shallow-rooted obligate seeders or facultative seeders that generate a persistent seed bank that is cued by fire to germinate. The facultative seeders, such as </w:t>
      </w:r>
      <w:proofErr w:type="spellStart"/>
      <w:r w:rsidRPr="004372E5">
        <w:rPr>
          <w:i/>
        </w:rPr>
        <w:t>Adenostoma</w:t>
      </w:r>
      <w:proofErr w:type="spellEnd"/>
      <w:r w:rsidRPr="004372E5">
        <w:rPr>
          <w:i/>
        </w:rPr>
        <w:t xml:space="preserve"> </w:t>
      </w:r>
      <w:proofErr w:type="spellStart"/>
      <w:r w:rsidRPr="004372E5">
        <w:rPr>
          <w:i/>
        </w:rPr>
        <w:t>fasciculatum</w:t>
      </w:r>
      <w:proofErr w:type="spellEnd"/>
      <w:r>
        <w:t xml:space="preserve">, are also able to </w:t>
      </w:r>
      <w:proofErr w:type="spellStart"/>
      <w:r>
        <w:t>resprout</w:t>
      </w:r>
      <w:proofErr w:type="spellEnd"/>
      <w:r>
        <w:t xml:space="preserve"> following fire. Obligate seeders generally do not recruit in the absence of fire and they require 10-25yrs to replenish their seed bank (sufficient enough to produce seedlings following fire). This </w:t>
      </w:r>
      <w:r w:rsidR="00CB64E2">
        <w:t>biophysical setting (</w:t>
      </w:r>
      <w:r>
        <w:t>BpS</w:t>
      </w:r>
      <w:r w:rsidR="00CB64E2">
        <w:t>)</w:t>
      </w:r>
      <w:r>
        <w:t xml:space="preserve"> includes mostly obligate seeders.</w:t>
      </w:r>
    </w:p>
    <w:p w:rsidR="005C1143" w:rsidP="005C1143" w:rsidRDefault="005C1143" w14:paraId="37805B5D" w14:textId="77777777">
      <w:pPr>
        <w:pStyle w:val="InfoPara"/>
      </w:pPr>
      <w:r>
        <w:t>BpS Dominant and Indicator Species</w:t>
      </w:r>
    </w:p>
    <w:p>
      <w:r>
        <w:rPr>
          <w:sz w:val="16"/>
        </w:rPr>
        <w:t>Species names are from the NRCS PLANTS database. Check species codes at http://plants.usda.gov.</w:t>
      </w:r>
    </w:p>
    <w:p w:rsidR="005C1143" w:rsidP="005C1143" w:rsidRDefault="005C1143" w14:paraId="286CE48E" w14:textId="77777777">
      <w:pPr>
        <w:pStyle w:val="InfoPara"/>
      </w:pPr>
      <w:r>
        <w:t>Disturbance Description</w:t>
      </w:r>
    </w:p>
    <w:p w:rsidR="005C1143" w:rsidP="005C1143" w:rsidRDefault="005C1143" w14:paraId="7488D5BA" w14:textId="2A31DAF3">
      <w:r>
        <w:t xml:space="preserve">Chaparral burns in high-intensity, stand-replacing crown fires, resulting in even-age stands in which the post-fire composition (after 5-10yrs) is largely the same as the pre-fire composition (referred to as </w:t>
      </w:r>
      <w:r w:rsidR="00CB64E2">
        <w:t>“</w:t>
      </w:r>
      <w:proofErr w:type="spellStart"/>
      <w:r>
        <w:t>autosuccession</w:t>
      </w:r>
      <w:proofErr w:type="spellEnd"/>
      <w:r w:rsidR="00CB64E2">
        <w:t>”</w:t>
      </w:r>
      <w:r>
        <w:t xml:space="preserve"> by Hanes </w:t>
      </w:r>
      <w:r w:rsidR="00CB64E2">
        <w:t>[</w:t>
      </w:r>
      <w:r>
        <w:t>1971</w:t>
      </w:r>
      <w:r w:rsidR="00CB64E2">
        <w:t>]</w:t>
      </w:r>
      <w:r>
        <w:t xml:space="preserve">). The fuel is drier and more flammable than mesic chaparral. </w:t>
      </w:r>
      <w:proofErr w:type="spellStart"/>
      <w:r w:rsidRPr="004372E5">
        <w:rPr>
          <w:i/>
        </w:rPr>
        <w:t>Adenostoma</w:t>
      </w:r>
      <w:proofErr w:type="spellEnd"/>
      <w:r w:rsidRPr="004372E5">
        <w:rPr>
          <w:i/>
        </w:rPr>
        <w:t xml:space="preserve"> </w:t>
      </w:r>
      <w:proofErr w:type="spellStart"/>
      <w:r w:rsidRPr="004372E5">
        <w:rPr>
          <w:i/>
        </w:rPr>
        <w:t>fasciculatum</w:t>
      </w:r>
      <w:proofErr w:type="spellEnd"/>
      <w:r>
        <w:t xml:space="preserve"> is particularly flammable</w:t>
      </w:r>
      <w:r w:rsidR="00CB64E2">
        <w:t>,</w:t>
      </w:r>
      <w:r>
        <w:t xml:space="preserve"> with a large surface</w:t>
      </w:r>
      <w:r w:rsidR="00CB64E2">
        <w:t xml:space="preserve"> </w:t>
      </w:r>
      <w:r>
        <w:t>area</w:t>
      </w:r>
      <w:r w:rsidR="00CB64E2">
        <w:t>-</w:t>
      </w:r>
      <w:r>
        <w:t>to</w:t>
      </w:r>
      <w:r w:rsidR="00CB64E2">
        <w:t>-</w:t>
      </w:r>
      <w:r>
        <w:t>volume ratio. Season of burning may play a role in species composition. The largest fires are often the product of strong offshore winds (such as the Santa Anas in southern California).</w:t>
      </w:r>
    </w:p>
    <w:p w:rsidR="005C1143" w:rsidP="005C1143" w:rsidRDefault="005C1143" w14:paraId="407C3EFA" w14:textId="77777777"/>
    <w:p w:rsidR="005C1143" w:rsidP="005C1143" w:rsidRDefault="005C1143" w14:paraId="7988C0C7" w14:textId="0871E4D3">
      <w:r>
        <w:t xml:space="preserve">Mean fire return intervals </w:t>
      </w:r>
      <w:r w:rsidR="00CB64E2">
        <w:t xml:space="preserve">(FRIs) </w:t>
      </w:r>
      <w:r>
        <w:t>vary according to species composition and environmental conditions.</w:t>
      </w:r>
      <w:r w:rsidR="00066DBE">
        <w:t xml:space="preserve"> </w:t>
      </w:r>
      <w:r>
        <w:t xml:space="preserve">Sediment cores taken from the Santa Barbara Channel in central California dating from the 16th and 17th centuries showed two major peaks in charcoal deposition about a century apart, suggesting </w:t>
      </w:r>
      <w:r w:rsidR="00CB64E2">
        <w:t xml:space="preserve">a </w:t>
      </w:r>
      <w:r>
        <w:t>historic</w:t>
      </w:r>
      <w:r w:rsidR="00CB64E2">
        <w:t>al</w:t>
      </w:r>
      <w:r>
        <w:t xml:space="preserve"> presence of large fires (</w:t>
      </w:r>
      <w:proofErr w:type="spellStart"/>
      <w:r>
        <w:t>Mensing</w:t>
      </w:r>
      <w:proofErr w:type="spellEnd"/>
      <w:r>
        <w:t xml:space="preserve"> 1998</w:t>
      </w:r>
      <w:r w:rsidR="00CB64E2">
        <w:t>;</w:t>
      </w:r>
      <w:r>
        <w:t xml:space="preserve"> </w:t>
      </w:r>
      <w:proofErr w:type="spellStart"/>
      <w:r>
        <w:t>Mensing</w:t>
      </w:r>
      <w:proofErr w:type="spellEnd"/>
      <w:r>
        <w:t xml:space="preserve"> et al. 1999).</w:t>
      </w:r>
      <w:r w:rsidR="00066DBE">
        <w:t xml:space="preserve"> </w:t>
      </w:r>
      <w:proofErr w:type="spellStart"/>
      <w:r>
        <w:t>Mensing</w:t>
      </w:r>
      <w:proofErr w:type="spellEnd"/>
      <w:r>
        <w:t xml:space="preserve"> (1998) and </w:t>
      </w:r>
      <w:proofErr w:type="spellStart"/>
      <w:r>
        <w:t>Mensing</w:t>
      </w:r>
      <w:proofErr w:type="spellEnd"/>
      <w:r>
        <w:t xml:space="preserve"> et al. (1999) found that the frequency of large charcoal peaks appeared fairly constant over the approximately </w:t>
      </w:r>
      <w:r w:rsidR="00DA4ECE">
        <w:t>560</w:t>
      </w:r>
      <w:r w:rsidR="00CB64E2">
        <w:t>-</w:t>
      </w:r>
      <w:r w:rsidR="00DA4ECE">
        <w:t>yr</w:t>
      </w:r>
      <w:r>
        <w:t xml:space="preserve"> period documented in the cores. Their foremost conclusion was that their sediment stratigraphy did not document any strong change in frequency of charcoal peaks over the entire period or during any of the major land use periods (Native American, Spanish and early American, or modern American). They concluded the frequency of really large fires (at least in southern Santa Barbara County) is controlled by decadal (and longer) drought cycles and by the annual fall occurrences of extreme fire weather, then as now.</w:t>
      </w:r>
      <w:r w:rsidR="00066DBE">
        <w:t xml:space="preserve"> </w:t>
      </w:r>
    </w:p>
    <w:p w:rsidR="005C1143" w:rsidP="005C1143" w:rsidRDefault="005C1143" w14:paraId="0E5888D5" w14:textId="77777777"/>
    <w:p w:rsidR="005C1143" w:rsidP="005C1143" w:rsidRDefault="005C1143" w14:paraId="7586147D" w14:textId="6CF9D64E">
      <w:r>
        <w:t xml:space="preserve">One </w:t>
      </w:r>
      <w:r w:rsidR="00C6257C">
        <w:t xml:space="preserve">LANDFIRE National </w:t>
      </w:r>
      <w:r>
        <w:t xml:space="preserve">reviewer suggested the </w:t>
      </w:r>
      <w:r w:rsidR="00CB64E2">
        <w:t xml:space="preserve">FRI </w:t>
      </w:r>
      <w:r>
        <w:t xml:space="preserve">should be about 40yrs. Modeler felt that the original estimated </w:t>
      </w:r>
      <w:r w:rsidR="00CB64E2">
        <w:t xml:space="preserve">FRI </w:t>
      </w:r>
      <w:r>
        <w:t>(70yrs) may be too high</w:t>
      </w:r>
      <w:r w:rsidR="00CB64E2">
        <w:t>,</w:t>
      </w:r>
      <w:r>
        <w:t xml:space="preserve"> but that 40</w:t>
      </w:r>
      <w:r w:rsidR="00CB64E2">
        <w:t>yrs</w:t>
      </w:r>
      <w:r>
        <w:t xml:space="preserve"> was too low because a</w:t>
      </w:r>
      <w:r w:rsidR="00CB64E2">
        <w:t>n FRI</w:t>
      </w:r>
      <w:r>
        <w:t xml:space="preserve"> that short was likely influenced by modern anthropogenic burning. The model was revised to achieve a compromise between these two view points and now has a 50</w:t>
      </w:r>
      <w:r w:rsidR="00CB64E2">
        <w:t>-</w:t>
      </w:r>
      <w:r>
        <w:t xml:space="preserve">yr </w:t>
      </w:r>
      <w:r w:rsidR="00CB64E2">
        <w:t>FRI</w:t>
      </w:r>
      <w:r>
        <w:t>.</w:t>
      </w:r>
    </w:p>
    <w:p w:rsidR="005C1143" w:rsidP="005C1143" w:rsidRDefault="00C6257C" w14:paraId="33CCF9B2" w14:textId="15BC1EE1">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C1143" w:rsidP="005C1143" w:rsidRDefault="005C1143" w14:paraId="4C2D5323" w14:textId="77777777">
      <w:pPr>
        <w:pStyle w:val="InfoPara"/>
      </w:pPr>
      <w:r>
        <w:t>Scale Description</w:t>
      </w:r>
    </w:p>
    <w:p w:rsidR="005C1143" w:rsidP="005C1143" w:rsidRDefault="005C1143" w14:paraId="01DB531D" w14:textId="3D442284">
      <w:r>
        <w:t>Fire size is strongly skewed, with small fires (10-100ha) more likely to occur than large fires (up to 100,000ha). A small percentage of the fires accounts for the bulk of area burned</w:t>
      </w:r>
      <w:r w:rsidR="00CB64E2">
        <w:t xml:space="preserve"> </w:t>
      </w:r>
      <w:r>
        <w:t>(approximately 10% of the fires result in 75% of the area burned).</w:t>
      </w:r>
    </w:p>
    <w:p w:rsidR="005C1143" w:rsidP="005C1143" w:rsidRDefault="005C1143" w14:paraId="47A13ED5" w14:textId="77777777">
      <w:pPr>
        <w:pStyle w:val="InfoPara"/>
      </w:pPr>
      <w:r>
        <w:t>Adjacency or Identification Concerns</w:t>
      </w:r>
    </w:p>
    <w:p w:rsidRPr="00824B11" w:rsidR="00824B11" w:rsidP="00824B11" w:rsidRDefault="005C1143" w14:paraId="4EBFED8D" w14:textId="77777777">
      <w:r>
        <w:t xml:space="preserve">In northern California, chaparral can merge with annual grass and </w:t>
      </w:r>
      <w:r w:rsidRPr="00824B11" w:rsidR="00824B11">
        <w:t>blue oak-gray pine (Pinus</w:t>
      </w:r>
    </w:p>
    <w:p w:rsidR="005C1143" w:rsidP="00824B11" w:rsidRDefault="00824B11" w14:paraId="0FF4454D" w14:textId="7AE92CF5">
      <w:proofErr w:type="spellStart"/>
      <w:r w:rsidRPr="00824B11">
        <w:t>Sabiniana</w:t>
      </w:r>
      <w:proofErr w:type="spellEnd"/>
      <w:r w:rsidRPr="00824B11">
        <w:t>)</w:t>
      </w:r>
      <w:r>
        <w:t xml:space="preserve"> </w:t>
      </w:r>
      <w:r w:rsidR="005C1143">
        <w:t>at lower elevations, and with coastal oak, ponderosa pine, or mixed</w:t>
      </w:r>
      <w:r w:rsidR="00066DBE">
        <w:t>-</w:t>
      </w:r>
      <w:r w:rsidR="005C1143">
        <w:t>conifer forest types at higher elevations. In the central coastal regions of California, chaparral forms a patchwork with grassland, coastal sage scrub, and broadleaf and coniferous forest.</w:t>
      </w:r>
    </w:p>
    <w:p w:rsidR="005C1143" w:rsidP="005C1143" w:rsidRDefault="005C1143" w14:paraId="29135F3C" w14:textId="77777777">
      <w:pPr>
        <w:pStyle w:val="InfoPara"/>
      </w:pPr>
      <w:r>
        <w:lastRenderedPageBreak/>
        <w:t>Issues or Problems</w:t>
      </w:r>
    </w:p>
    <w:p w:rsidR="005C1143" w:rsidP="005C1143" w:rsidRDefault="005C1143" w14:paraId="6739467A" w14:textId="6997A984">
      <w:r>
        <w:t>Due to the length of time required to replenish seed</w:t>
      </w:r>
      <w:r w:rsidR="00066DBE">
        <w:t xml:space="preserve"> </w:t>
      </w:r>
      <w:r>
        <w:t>banks, obligate seeders are sensitive to repeat fires (at FRIs from 5-</w:t>
      </w:r>
      <w:r w:rsidR="00DA4ECE">
        <w:t xml:space="preserve">12yrs). </w:t>
      </w:r>
      <w:r>
        <w:t>With increasing fire frequency from human ignitions and the presence of exotic annual grasses, there is a potential for widespread type conversion of shrublands to grasslands. The exotic grasses (</w:t>
      </w:r>
      <w:proofErr w:type="spellStart"/>
      <w:r w:rsidRPr="004372E5">
        <w:rPr>
          <w:i/>
        </w:rPr>
        <w:t>Avena</w:t>
      </w:r>
      <w:proofErr w:type="spellEnd"/>
      <w:r>
        <w:t xml:space="preserve"> spp. and </w:t>
      </w:r>
      <w:proofErr w:type="spellStart"/>
      <w:r w:rsidRPr="004372E5">
        <w:rPr>
          <w:i/>
        </w:rPr>
        <w:t>Bromus</w:t>
      </w:r>
      <w:proofErr w:type="spellEnd"/>
      <w:r>
        <w:t xml:space="preserve"> spp.) can sustain very high fire frequency and promote fire, thereby causing a positive feedback cycle of increasing fire frequency.</w:t>
      </w:r>
    </w:p>
    <w:p w:rsidR="005C1143" w:rsidP="005C1143" w:rsidRDefault="005C1143" w14:paraId="1B51B3AE" w14:textId="77777777">
      <w:pPr>
        <w:pStyle w:val="InfoPara"/>
      </w:pPr>
      <w:r>
        <w:t>Native Uncharacteristic Conditions</w:t>
      </w:r>
    </w:p>
    <w:p w:rsidR="005C1143" w:rsidP="005C1143" w:rsidRDefault="005C1143" w14:paraId="2866C945" w14:textId="7A4F1CF8">
      <w:r>
        <w:t xml:space="preserve">Biggest issue is exotic annual grasses and type conversion of shrublands </w:t>
      </w:r>
      <w:r w:rsidR="00066DBE">
        <w:t>from</w:t>
      </w:r>
      <w:r>
        <w:t xml:space="preserve"> repeated fires.</w:t>
      </w:r>
    </w:p>
    <w:p w:rsidR="005C1143" w:rsidP="005C1143" w:rsidRDefault="005C1143" w14:paraId="0A44123E" w14:textId="77777777">
      <w:pPr>
        <w:pStyle w:val="InfoPara"/>
      </w:pPr>
      <w:r>
        <w:t>Comments</w:t>
      </w:r>
    </w:p>
    <w:p w:rsidR="00573C64" w:rsidP="005C1143" w:rsidRDefault="00573C64" w14:paraId="5A592429" w14:textId="3FC4310C">
      <w:r w:rsidRPr="00DF2600">
        <w:t>M</w:t>
      </w:r>
      <w:r w:rsidR="00066DBE">
        <w:t>ap zone (M</w:t>
      </w:r>
      <w:r w:rsidRPr="00DF2600">
        <w:t>Z</w:t>
      </w:r>
      <w:r w:rsidR="00066DBE">
        <w:t>)</w:t>
      </w:r>
      <w:r w:rsidRPr="00DF2600">
        <w:t xml:space="preserve"> </w:t>
      </w:r>
      <w:r>
        <w:t xml:space="preserve">4 and </w:t>
      </w:r>
      <w:r w:rsidR="00066DBE">
        <w:t>MZ0</w:t>
      </w:r>
      <w:r>
        <w:t>5</w:t>
      </w:r>
      <w:r w:rsidRPr="00DF2600">
        <w:t xml:space="preserve"> were combined during </w:t>
      </w:r>
      <w:r w:rsidR="00066DBE">
        <w:t xml:space="preserve">the </w:t>
      </w:r>
      <w:r w:rsidRPr="00DF2600">
        <w:t xml:space="preserve">2015 BpS </w:t>
      </w:r>
      <w:r w:rsidR="00066DBE">
        <w:t>r</w:t>
      </w:r>
      <w:r w:rsidRPr="00DF2600">
        <w:t>eview.</w:t>
      </w:r>
    </w:p>
    <w:p w:rsidR="005C1143" w:rsidP="005C1143" w:rsidRDefault="005C1143" w14:paraId="765A4412" w14:textId="3AC90485"/>
    <w:p w:rsidR="005C1143" w:rsidP="005C1143" w:rsidRDefault="005C1143" w14:paraId="7FF268B0" w14:textId="649A7153">
      <w:r>
        <w:t>Experts suggest this type would be more aptly named Northern and Central California Xeric Chaparral.</w:t>
      </w:r>
    </w:p>
    <w:p w:rsidR="005C1143" w:rsidP="005C1143" w:rsidRDefault="005C1143" w14:paraId="11A71569" w14:textId="77777777"/>
    <w:p w:rsidR="005C1143" w:rsidP="005C1143" w:rsidRDefault="005C1143" w14:paraId="51ED1F28" w14:textId="13FA606F">
      <w:r>
        <w:t xml:space="preserve">A reviewer for MZ04 and </w:t>
      </w:r>
      <w:r w:rsidR="00066DBE">
        <w:t>MZ</w:t>
      </w:r>
      <w:r>
        <w:t xml:space="preserve">05 indicated that 1110 and 1105 could be lumped </w:t>
      </w:r>
      <w:r w:rsidR="00066DBE">
        <w:t xml:space="preserve">together </w:t>
      </w:r>
      <w:r>
        <w:t>because the VDDT models are not quantitatively different. This suggestion was not implemented because of the species and descriptive differences between the two systems.</w:t>
      </w:r>
    </w:p>
    <w:p w:rsidR="00BF23F7" w:rsidP="005C1143" w:rsidRDefault="00BF23F7" w14:paraId="6887C238" w14:textId="77777777"/>
    <w:p w:rsidR="005C1143" w:rsidP="005C1143" w:rsidRDefault="005C1143" w14:paraId="10D11C59" w14:textId="77777777">
      <w:pPr>
        <w:pStyle w:val="ReportSection"/>
      </w:pPr>
      <w:r>
        <w:t>Succession Classes</w:t>
      </w:r>
    </w:p>
    <w:p w:rsidR="005C1143" w:rsidP="005C1143" w:rsidRDefault="005C1143" w14:paraId="41393B81"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C1143" w:rsidP="005C1143" w:rsidRDefault="005C1143" w14:paraId="4BAC8E0B" w14:textId="77777777">
      <w:pPr>
        <w:pStyle w:val="InfoPara"/>
        <w:pBdr>
          <w:top w:val="single" w:color="auto" w:sz="4" w:space="1"/>
        </w:pBdr>
      </w:pPr>
      <w:r>
        <w:t>Class A</w:t>
      </w:r>
      <w:r>
        <w:tab/>
        <w:t>19</w:t>
      </w:r>
      <w:r w:rsidR="002A3B10">
        <w:tab/>
      </w:r>
      <w:r w:rsidR="002A3B10">
        <w:tab/>
      </w:r>
      <w:r w:rsidR="002A3B10">
        <w:tab/>
      </w:r>
      <w:r w:rsidR="002A3B10">
        <w:tab/>
      </w:r>
      <w:r w:rsidR="004F7795">
        <w:t>Early Development 1 - Open</w:t>
      </w:r>
    </w:p>
    <w:p w:rsidR="005C1143" w:rsidP="005C1143" w:rsidRDefault="005C1143" w14:paraId="3263CE8B" w14:textId="77777777"/>
    <w:p w:rsidR="005C1143" w:rsidP="005C1143" w:rsidRDefault="005C1143" w14:paraId="39F77C3E" w14:textId="77777777">
      <w:pPr>
        <w:pStyle w:val="SClassInfoPara"/>
      </w:pPr>
      <w:r>
        <w:t>Indicator Species</w:t>
      </w:r>
    </w:p>
    <w:p w:rsidR="005C1143" w:rsidP="005C1143" w:rsidRDefault="005C1143" w14:paraId="30249B90" w14:textId="77777777"/>
    <w:p w:rsidR="005C1143" w:rsidP="005C1143" w:rsidRDefault="005C1143" w14:paraId="0770A075" w14:textId="77777777">
      <w:pPr>
        <w:pStyle w:val="SClassInfoPara"/>
      </w:pPr>
      <w:r>
        <w:t>Description</w:t>
      </w:r>
    </w:p>
    <w:p w:rsidR="005C1143" w:rsidP="00C6257C" w:rsidRDefault="005C1143" w14:paraId="5B2067B3" w14:textId="1A9F86B6">
      <w:r>
        <w:t xml:space="preserve">The shrub species listed </w:t>
      </w:r>
      <w:r w:rsidR="00066DBE">
        <w:t xml:space="preserve">in the table are </w:t>
      </w:r>
      <w:r>
        <w:t>present as seedlings from a fire-cued seed</w:t>
      </w:r>
      <w:r w:rsidR="00066DBE">
        <w:t xml:space="preserve"> </w:t>
      </w:r>
      <w:r>
        <w:t xml:space="preserve">bank, </w:t>
      </w:r>
      <w:proofErr w:type="spellStart"/>
      <w:r>
        <w:t>resprouts</w:t>
      </w:r>
      <w:proofErr w:type="spellEnd"/>
      <w:r>
        <w:t xml:space="preserve"> from facultative seeders, </w:t>
      </w:r>
      <w:r w:rsidR="00066DBE">
        <w:t xml:space="preserve">and </w:t>
      </w:r>
      <w:r>
        <w:t>fire annuals, perennial geophytes</w:t>
      </w:r>
      <w:r w:rsidR="00066DBE">
        <w:t>,</w:t>
      </w:r>
      <w:r>
        <w:t xml:space="preserve"> and short-lived perennials. Herb species include common deerweed (</w:t>
      </w:r>
      <w:r w:rsidRPr="004372E5">
        <w:rPr>
          <w:i/>
        </w:rPr>
        <w:t xml:space="preserve">Lotus </w:t>
      </w:r>
      <w:proofErr w:type="spellStart"/>
      <w:r w:rsidRPr="004372E5">
        <w:rPr>
          <w:i/>
        </w:rPr>
        <w:t>scoparius</w:t>
      </w:r>
      <w:proofErr w:type="spellEnd"/>
      <w:r>
        <w:t xml:space="preserve">), </w:t>
      </w:r>
      <w:r w:rsidRPr="004372E5">
        <w:rPr>
          <w:i/>
        </w:rPr>
        <w:t>Phacelia</w:t>
      </w:r>
      <w:r>
        <w:t xml:space="preserve"> spp., </w:t>
      </w:r>
      <w:proofErr w:type="spellStart"/>
      <w:r w:rsidRPr="004372E5" w:rsidR="00066DBE">
        <w:rPr>
          <w:i/>
        </w:rPr>
        <w:t>C</w:t>
      </w:r>
      <w:r w:rsidRPr="004372E5">
        <w:rPr>
          <w:i/>
        </w:rPr>
        <w:t>ryptantha</w:t>
      </w:r>
      <w:proofErr w:type="spellEnd"/>
      <w:r>
        <w:t xml:space="preserve"> spp., and </w:t>
      </w:r>
      <w:proofErr w:type="spellStart"/>
      <w:r w:rsidRPr="004372E5">
        <w:rPr>
          <w:i/>
        </w:rPr>
        <w:t>Emmenanthe</w:t>
      </w:r>
      <w:proofErr w:type="spellEnd"/>
      <w:r>
        <w:t xml:space="preserve"> spp. The temporary post-fire vegetation starts to drop out within approximately </w:t>
      </w:r>
      <w:r w:rsidR="00066DBE">
        <w:t>5yrs</w:t>
      </w:r>
      <w:r>
        <w:t xml:space="preserve">, after which the seedlings and </w:t>
      </w:r>
      <w:proofErr w:type="spellStart"/>
      <w:r>
        <w:t>resprouts</w:t>
      </w:r>
      <w:proofErr w:type="spellEnd"/>
      <w:r>
        <w:t xml:space="preserve"> begin to predominate in similar composition as pre-fire conditions. </w:t>
      </w:r>
    </w:p>
    <w:p w:rsidR="005C1143" w:rsidP="005C1143" w:rsidRDefault="005C1143" w14:paraId="05373637" w14:textId="77777777"/>
    <w:p>
      <w:r>
        <w:rPr>
          <w:i/>
          <w:u w:val="single"/>
        </w:rPr>
        <w:t>Maximum Tree Size Class</w:t>
      </w:r>
      <w:br/>
      <w:r>
        <w:t>None</w:t>
      </w:r>
    </w:p>
    <w:p w:rsidR="005C1143" w:rsidP="005C1143" w:rsidRDefault="005C1143" w14:paraId="32279CF2" w14:textId="77777777">
      <w:pPr>
        <w:pStyle w:val="InfoPara"/>
        <w:pBdr>
          <w:top w:val="single" w:color="auto" w:sz="4" w:space="1"/>
        </w:pBdr>
      </w:pPr>
      <w:r>
        <w:t>Class B</w:t>
      </w:r>
      <w:r>
        <w:tab/>
        <w:t>81</w:t>
      </w:r>
      <w:r w:rsidR="002A3B10">
        <w:tab/>
      </w:r>
      <w:r w:rsidR="002A3B10">
        <w:tab/>
      </w:r>
      <w:r w:rsidR="002A3B10">
        <w:tab/>
      </w:r>
      <w:r w:rsidR="002A3B10">
        <w:tab/>
      </w:r>
      <w:r w:rsidR="004F7795">
        <w:t>Late Development 1 - Closed</w:t>
      </w:r>
    </w:p>
    <w:p w:rsidR="005C1143" w:rsidP="005C1143" w:rsidRDefault="005C1143" w14:paraId="049F367A" w14:textId="77777777"/>
    <w:p w:rsidR="005C1143" w:rsidP="005C1143" w:rsidRDefault="005C1143" w14:paraId="6AF9A33C" w14:textId="77777777">
      <w:pPr>
        <w:pStyle w:val="SClassInfoPara"/>
      </w:pPr>
      <w:r>
        <w:t>Indicator Species</w:t>
      </w:r>
    </w:p>
    <w:p w:rsidR="005C1143" w:rsidP="005C1143" w:rsidRDefault="005C1143" w14:paraId="2B9A1565" w14:textId="77777777"/>
    <w:p w:rsidR="005C1143" w:rsidP="005C1143" w:rsidRDefault="005C1143" w14:paraId="51339044" w14:textId="77777777">
      <w:pPr>
        <w:pStyle w:val="SClassInfoPara"/>
      </w:pPr>
      <w:r>
        <w:t>Description</w:t>
      </w:r>
    </w:p>
    <w:p w:rsidR="005C1143" w:rsidP="005C1143" w:rsidRDefault="005C1143" w14:paraId="423272F8" w14:textId="5AB04601">
      <w:r>
        <w:t xml:space="preserve">Shrubs growing from seedlings or </w:t>
      </w:r>
      <w:proofErr w:type="spellStart"/>
      <w:r>
        <w:t>resprouts</w:t>
      </w:r>
      <w:proofErr w:type="spellEnd"/>
      <w:r>
        <w:t xml:space="preserve"> from </w:t>
      </w:r>
      <w:r w:rsidR="00066DBE">
        <w:t>C</w:t>
      </w:r>
      <w:r>
        <w:t xml:space="preserve">lass A. Herbs only in openings. Characteristic species include </w:t>
      </w:r>
      <w:proofErr w:type="spellStart"/>
      <w:r w:rsidRPr="004372E5">
        <w:rPr>
          <w:i/>
        </w:rPr>
        <w:t>Adenostoma</w:t>
      </w:r>
      <w:proofErr w:type="spellEnd"/>
      <w:r w:rsidRPr="004372E5">
        <w:rPr>
          <w:i/>
        </w:rPr>
        <w:t xml:space="preserve"> </w:t>
      </w:r>
      <w:proofErr w:type="spellStart"/>
      <w:r w:rsidRPr="004372E5">
        <w:rPr>
          <w:i/>
        </w:rPr>
        <w:t>fasciculatum</w:t>
      </w:r>
      <w:proofErr w:type="spellEnd"/>
      <w:r w:rsidR="00066DBE">
        <w:t>,</w:t>
      </w:r>
      <w:r w:rsidRPr="004372E5">
        <w:rPr>
          <w:i/>
        </w:rPr>
        <w:t xml:space="preserve"> Ceanothus </w:t>
      </w:r>
      <w:proofErr w:type="spellStart"/>
      <w:r w:rsidRPr="004372E5">
        <w:rPr>
          <w:i/>
        </w:rPr>
        <w:t>cuneatus</w:t>
      </w:r>
      <w:proofErr w:type="spellEnd"/>
      <w:r w:rsidR="00066DBE">
        <w:t>,</w:t>
      </w:r>
      <w:r w:rsidRPr="004372E5">
        <w:rPr>
          <w:i/>
        </w:rPr>
        <w:t xml:space="preserve"> </w:t>
      </w:r>
      <w:proofErr w:type="spellStart"/>
      <w:r w:rsidRPr="004372E5">
        <w:rPr>
          <w:i/>
        </w:rPr>
        <w:t>Arctostaphylos</w:t>
      </w:r>
      <w:proofErr w:type="spellEnd"/>
      <w:r w:rsidRPr="004372E5">
        <w:rPr>
          <w:i/>
        </w:rPr>
        <w:t xml:space="preserve"> </w:t>
      </w:r>
      <w:proofErr w:type="spellStart"/>
      <w:r w:rsidRPr="004372E5">
        <w:rPr>
          <w:i/>
        </w:rPr>
        <w:t>viscida</w:t>
      </w:r>
      <w:proofErr w:type="spellEnd"/>
      <w:r w:rsidR="00066DBE">
        <w:t>,</w:t>
      </w:r>
      <w:r w:rsidRPr="004372E5">
        <w:rPr>
          <w:i/>
        </w:rPr>
        <w:t xml:space="preserve"> </w:t>
      </w:r>
      <w:proofErr w:type="spellStart"/>
      <w:r w:rsidRPr="004372E5">
        <w:rPr>
          <w:i/>
        </w:rPr>
        <w:t>Arctostaphylos</w:t>
      </w:r>
      <w:proofErr w:type="spellEnd"/>
      <w:r w:rsidRPr="004372E5">
        <w:rPr>
          <w:i/>
        </w:rPr>
        <w:t xml:space="preserve"> manzanita</w:t>
      </w:r>
      <w:r w:rsidR="00066DBE">
        <w:t>,</w:t>
      </w:r>
      <w:r w:rsidRPr="004372E5">
        <w:rPr>
          <w:i/>
        </w:rPr>
        <w:t xml:space="preserve"> </w:t>
      </w:r>
      <w:proofErr w:type="spellStart"/>
      <w:r w:rsidRPr="004372E5">
        <w:rPr>
          <w:i/>
        </w:rPr>
        <w:t>Arctostaphylos</w:t>
      </w:r>
      <w:proofErr w:type="spellEnd"/>
      <w:r w:rsidRPr="004372E5">
        <w:rPr>
          <w:i/>
        </w:rPr>
        <w:t xml:space="preserve"> </w:t>
      </w:r>
      <w:proofErr w:type="spellStart"/>
      <w:r w:rsidRPr="004372E5">
        <w:rPr>
          <w:i/>
        </w:rPr>
        <w:t>glauca</w:t>
      </w:r>
      <w:proofErr w:type="spellEnd"/>
      <w:r w:rsidR="00066DBE">
        <w:t>,</w:t>
      </w:r>
      <w:r w:rsidRPr="004372E5">
        <w:rPr>
          <w:i/>
        </w:rPr>
        <w:t xml:space="preserve"> </w:t>
      </w:r>
      <w:proofErr w:type="spellStart"/>
      <w:r w:rsidRPr="004372E5">
        <w:rPr>
          <w:i/>
        </w:rPr>
        <w:t>Arctostaphylos</w:t>
      </w:r>
      <w:proofErr w:type="spellEnd"/>
      <w:r w:rsidRPr="004372E5">
        <w:rPr>
          <w:i/>
        </w:rPr>
        <w:t xml:space="preserve"> </w:t>
      </w:r>
      <w:proofErr w:type="spellStart"/>
      <w:r w:rsidRPr="004372E5">
        <w:rPr>
          <w:i/>
        </w:rPr>
        <w:t>glandulosa</w:t>
      </w:r>
      <w:proofErr w:type="spellEnd"/>
      <w:r w:rsidR="00066DBE">
        <w:t>,</w:t>
      </w:r>
      <w:r w:rsidRPr="004372E5">
        <w:rPr>
          <w:i/>
        </w:rPr>
        <w:t xml:space="preserve"> </w:t>
      </w:r>
      <w:proofErr w:type="spellStart"/>
      <w:r w:rsidRPr="004372E5">
        <w:rPr>
          <w:i/>
        </w:rPr>
        <w:t>Arctostaphylos</w:t>
      </w:r>
      <w:proofErr w:type="spellEnd"/>
      <w:r w:rsidRPr="004372E5">
        <w:rPr>
          <w:i/>
        </w:rPr>
        <w:t xml:space="preserve"> </w:t>
      </w:r>
      <w:proofErr w:type="spellStart"/>
      <w:r w:rsidRPr="004372E5">
        <w:rPr>
          <w:i/>
        </w:rPr>
        <w:t>stanfordiana</w:t>
      </w:r>
      <w:proofErr w:type="spellEnd"/>
      <w:r w:rsidR="00066DBE">
        <w:t>,</w:t>
      </w:r>
      <w:r w:rsidRPr="004372E5">
        <w:rPr>
          <w:i/>
        </w:rPr>
        <w:t xml:space="preserve"> </w:t>
      </w:r>
      <w:proofErr w:type="spellStart"/>
      <w:r w:rsidRPr="004372E5">
        <w:rPr>
          <w:i/>
        </w:rPr>
        <w:t>Fremontodendron</w:t>
      </w:r>
      <w:proofErr w:type="spellEnd"/>
      <w:r w:rsidRPr="004372E5">
        <w:rPr>
          <w:i/>
        </w:rPr>
        <w:t xml:space="preserve"> </w:t>
      </w:r>
      <w:proofErr w:type="spellStart"/>
      <w:r w:rsidRPr="004372E5">
        <w:rPr>
          <w:i/>
        </w:rPr>
        <w:t>californicum</w:t>
      </w:r>
      <w:proofErr w:type="spellEnd"/>
      <w:r w:rsidR="00066DBE">
        <w:t>,</w:t>
      </w:r>
      <w:r w:rsidRPr="004372E5">
        <w:rPr>
          <w:i/>
        </w:rPr>
        <w:t xml:space="preserve"> </w:t>
      </w:r>
      <w:proofErr w:type="spellStart"/>
      <w:r w:rsidRPr="004372E5">
        <w:rPr>
          <w:i/>
        </w:rPr>
        <w:t>Malacothamnus</w:t>
      </w:r>
      <w:proofErr w:type="spellEnd"/>
      <w:r w:rsidRPr="004372E5">
        <w:rPr>
          <w:i/>
        </w:rPr>
        <w:t xml:space="preserve"> </w:t>
      </w:r>
      <w:proofErr w:type="spellStart"/>
      <w:r w:rsidRPr="004372E5">
        <w:rPr>
          <w:i/>
        </w:rPr>
        <w:t>fasciculatus</w:t>
      </w:r>
      <w:proofErr w:type="spellEnd"/>
      <w:r w:rsidR="00066DBE">
        <w:t>,</w:t>
      </w:r>
      <w:r w:rsidRPr="004372E5">
        <w:rPr>
          <w:i/>
        </w:rPr>
        <w:t xml:space="preserve"> </w:t>
      </w:r>
      <w:proofErr w:type="spellStart"/>
      <w:r w:rsidRPr="004372E5">
        <w:rPr>
          <w:i/>
        </w:rPr>
        <w:t>Dendromecon</w:t>
      </w:r>
      <w:proofErr w:type="spellEnd"/>
      <w:r w:rsidRPr="004372E5">
        <w:rPr>
          <w:i/>
        </w:rPr>
        <w:t xml:space="preserve"> </w:t>
      </w:r>
      <w:proofErr w:type="spellStart"/>
      <w:r w:rsidRPr="004372E5">
        <w:rPr>
          <w:i/>
        </w:rPr>
        <w:t>rigida</w:t>
      </w:r>
      <w:proofErr w:type="spellEnd"/>
      <w:r w:rsidR="00066DBE">
        <w:t>,</w:t>
      </w:r>
      <w:r w:rsidRPr="004372E5">
        <w:rPr>
          <w:i/>
        </w:rPr>
        <w:t xml:space="preserve"> </w:t>
      </w:r>
      <w:r w:rsidRPr="00066DBE">
        <w:t>and</w:t>
      </w:r>
      <w:r w:rsidRPr="004372E5">
        <w:rPr>
          <w:i/>
        </w:rPr>
        <w:t xml:space="preserve"> </w:t>
      </w:r>
      <w:proofErr w:type="spellStart"/>
      <w:r w:rsidRPr="004372E5">
        <w:rPr>
          <w:i/>
        </w:rPr>
        <w:t>Pickeringia</w:t>
      </w:r>
      <w:proofErr w:type="spellEnd"/>
      <w:r w:rsidRPr="004372E5">
        <w:rPr>
          <w:i/>
        </w:rPr>
        <w:t xml:space="preserve"> </w:t>
      </w:r>
      <w:proofErr w:type="spellStart"/>
      <w:r w:rsidRPr="004372E5">
        <w:rPr>
          <w:i/>
        </w:rPr>
        <w:t>montana</w:t>
      </w:r>
      <w:proofErr w:type="spellEnd"/>
      <w:r>
        <w:t xml:space="preserve">. The obligate seeders require fire to persist on the landscape, but can generally live from 75-150yrs. </w:t>
      </w:r>
    </w:p>
    <w:p w:rsidR="005C1143" w:rsidP="005C1143" w:rsidRDefault="005C1143" w14:paraId="4FA4BA6B"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5C1143" w:rsidP="005C1143" w:rsidRDefault="005C1143" w14:paraId="282B0F31" w14:textId="596897CF">
      <w:r>
        <w:t xml:space="preserve">Byrne, R.I., J. </w:t>
      </w:r>
      <w:proofErr w:type="spellStart"/>
      <w:r>
        <w:t>Michaelsen</w:t>
      </w:r>
      <w:proofErr w:type="spellEnd"/>
      <w:r>
        <w:t xml:space="preserve"> and A. </w:t>
      </w:r>
      <w:proofErr w:type="spellStart"/>
      <w:r>
        <w:t>Soutar</w:t>
      </w:r>
      <w:proofErr w:type="spellEnd"/>
      <w:r>
        <w:t xml:space="preserve">. 1977. Fossil charcoal as a measure of wildfire frequency in southern California: a preliminary analysis. In H.A. Mooney and C.E. Conrad, eds. Proceedings of the symposium on environmental consequences of fire and fuel management in Mediterranean ecosystems. </w:t>
      </w:r>
      <w:r w:rsidR="00DA4ECE">
        <w:t>Gen. Tech. Rep.</w:t>
      </w:r>
      <w:r>
        <w:t xml:space="preserve"> WO-3. USDA Forest Service: 361-361.</w:t>
      </w:r>
    </w:p>
    <w:p w:rsidR="005C1143" w:rsidP="005C1143" w:rsidRDefault="005C1143" w14:paraId="16F2822D" w14:textId="77777777"/>
    <w:p w:rsidR="005C1143" w:rsidP="005C1143" w:rsidRDefault="005C1143" w14:paraId="7078B4BD" w14:textId="2D78CE66">
      <w:r>
        <w:t xml:space="preserve">Conard, C.E. 1987. Common shrubs of chaparral and associated ecosystems of southern California. </w:t>
      </w:r>
      <w:r w:rsidR="00DA4ECE">
        <w:t>Gen. Tech. Rep.</w:t>
      </w:r>
      <w:r>
        <w:t xml:space="preserve"> PSW-99. Berkeley, CA: Pacific Southwest Forest and Range Experiment Station.</w:t>
      </w:r>
    </w:p>
    <w:p w:rsidR="005C1143" w:rsidP="005C1143" w:rsidRDefault="005C1143" w14:paraId="61BA9FEF" w14:textId="77777777"/>
    <w:p w:rsidR="005C1143" w:rsidP="005C1143" w:rsidRDefault="005C1143" w14:paraId="4F96759B" w14:textId="77777777">
      <w:r>
        <w:t>Hanes, T.L. 1971. Succession after fire in the chaparral of southern California. Ecological</w:t>
      </w:r>
    </w:p>
    <w:p w:rsidR="005C1143" w:rsidP="005C1143" w:rsidRDefault="005C1143" w14:paraId="5A2A96B8" w14:textId="77777777">
      <w:r>
        <w:t>Monographs 41: 27-52.</w:t>
      </w:r>
    </w:p>
    <w:p w:rsidR="005C1143" w:rsidP="005C1143" w:rsidRDefault="005C1143" w14:paraId="2EE501C3" w14:textId="77777777"/>
    <w:p w:rsidR="005C1143" w:rsidP="005C1143" w:rsidRDefault="005C1143" w14:paraId="2281656A" w14:textId="77777777">
      <w:r>
        <w:t>Keeley, J.E. 2000. Chaparral. In: Barbour, M.G. and W.D. Billings, eds. North American Terrestrial Vegetation. 2nd Edition. NY: Cambridge University Press. 203-253.</w:t>
      </w:r>
    </w:p>
    <w:p w:rsidR="005C1143" w:rsidP="005C1143" w:rsidRDefault="005C1143" w14:paraId="591C6999" w14:textId="77777777"/>
    <w:p w:rsidR="005C1143" w:rsidP="005C1143" w:rsidRDefault="005C1143" w14:paraId="320C0779" w14:textId="77777777">
      <w:r>
        <w:t>Keeley J.E. 2002. Native American impacts on fire regimes of the California coastal ranges. Journal of Biogeography 29: 303-320.</w:t>
      </w:r>
    </w:p>
    <w:p w:rsidR="005C1143" w:rsidP="005C1143" w:rsidRDefault="005C1143" w14:paraId="12876E39" w14:textId="77777777"/>
    <w:p w:rsidR="005C1143" w:rsidP="005C1143" w:rsidRDefault="005C1143" w14:paraId="709C3C33" w14:textId="2488054D">
      <w:r>
        <w:t xml:space="preserve">Keeley, J.E. Fire in the South Coast region. 2005. In J. </w:t>
      </w:r>
      <w:proofErr w:type="spellStart"/>
      <w:r>
        <w:t>Fites</w:t>
      </w:r>
      <w:proofErr w:type="spellEnd"/>
      <w:r>
        <w:t xml:space="preserve">-Kaufman, N. Sugihara and J. van </w:t>
      </w:r>
      <w:proofErr w:type="spellStart"/>
      <w:r>
        <w:t>Wangtendonk</w:t>
      </w:r>
      <w:proofErr w:type="spellEnd"/>
      <w:r>
        <w:t>, eds. Fire Ecology of California Ecosystems. University of California Press. In press.</w:t>
      </w:r>
    </w:p>
    <w:p w:rsidR="005C1143" w:rsidP="005C1143" w:rsidRDefault="005C1143" w14:paraId="34BE52E9" w14:textId="77777777"/>
    <w:p w:rsidR="005C1143" w:rsidP="005C1143" w:rsidRDefault="005C1143" w14:paraId="047F7B28" w14:textId="77777777">
      <w:r>
        <w:t xml:space="preserve">Keeley, J.E., C.J. Fotheringham and M. </w:t>
      </w:r>
      <w:proofErr w:type="spellStart"/>
      <w:r>
        <w:t>Morais</w:t>
      </w:r>
      <w:proofErr w:type="spellEnd"/>
      <w:r>
        <w:t>. 1999. Reexamining fire suppression impacts on brushland fire regimes. Science 284: 1829-1832.</w:t>
      </w:r>
    </w:p>
    <w:p w:rsidR="005C1143" w:rsidP="005C1143" w:rsidRDefault="005C1143" w14:paraId="29A45E16" w14:textId="77777777"/>
    <w:p w:rsidR="005C1143" w:rsidP="005C1143" w:rsidRDefault="005C1143" w14:paraId="21BA4072" w14:textId="77777777">
      <w:r>
        <w:lastRenderedPageBreak/>
        <w:t>Keeley, J.E. and C.J. Fotheringham. 2001. The historical role of fire in California shrublands. Conservation Biology 15: 1536-1548.</w:t>
      </w:r>
    </w:p>
    <w:p w:rsidR="005C1143" w:rsidP="005C1143" w:rsidRDefault="005C1143" w14:paraId="01470FB6" w14:textId="77777777"/>
    <w:p w:rsidR="005C1143" w:rsidP="005C1143" w:rsidRDefault="005C1143" w14:paraId="1E3278BC" w14:textId="77777777">
      <w:r>
        <w:t>Keeley, J.E. and C.J. Fotheringham. 2001. History and management of crown-fire ecosystems: A summary and response. Conservation Biology 15: 1561-1567.</w:t>
      </w:r>
    </w:p>
    <w:p w:rsidR="005C1143" w:rsidP="005C1143" w:rsidRDefault="005C1143" w14:paraId="114E7FF2" w14:textId="77777777"/>
    <w:p w:rsidR="005C1143" w:rsidP="005C1143" w:rsidRDefault="005C1143" w14:paraId="0B8F1603" w14:textId="666ACA6A">
      <w:r>
        <w:t xml:space="preserve">Keeley, J.E. and C.J. Fotheringham. 2003. Impact of past, present, and future fire regimes on North American Mediterranean shrublands. In: Veblen, T.T., W.L. Baker, G. Montenegro and T.W. </w:t>
      </w:r>
      <w:proofErr w:type="spellStart"/>
      <w:r>
        <w:t>Swetnam</w:t>
      </w:r>
      <w:proofErr w:type="spellEnd"/>
      <w:r>
        <w:t>, eds. Fire and Climatic Change in Temperate Ecosystems of the Western Americas. NY: Springer. 218-262</w:t>
      </w:r>
    </w:p>
    <w:p w:rsidR="005C1143" w:rsidP="005C1143" w:rsidRDefault="005C1143" w14:paraId="0B4C1792" w14:textId="77777777"/>
    <w:p w:rsidR="005C1143" w:rsidP="005C1143" w:rsidRDefault="005C1143" w14:paraId="0130E6CA" w14:textId="29E435F3">
      <w:proofErr w:type="spellStart"/>
      <w:r>
        <w:t>Mensing</w:t>
      </w:r>
      <w:proofErr w:type="spellEnd"/>
      <w:r>
        <w:t xml:space="preserve">, S.A. 1998. 560 years of vegetation change in the region of Santa Barbara, California. </w:t>
      </w:r>
      <w:proofErr w:type="spellStart"/>
      <w:r>
        <w:t>Madroño</w:t>
      </w:r>
      <w:proofErr w:type="spellEnd"/>
      <w:r>
        <w:t xml:space="preserve"> 45(1): 1-11.</w:t>
      </w:r>
    </w:p>
    <w:p w:rsidR="005C1143" w:rsidP="005C1143" w:rsidRDefault="005C1143" w14:paraId="4C128BB1" w14:textId="77777777"/>
    <w:p w:rsidR="005C1143" w:rsidP="005C1143" w:rsidRDefault="005C1143" w14:paraId="7E85DF40" w14:textId="77777777">
      <w:proofErr w:type="spellStart"/>
      <w:r>
        <w:t>Mensing</w:t>
      </w:r>
      <w:proofErr w:type="spellEnd"/>
      <w:r>
        <w:t xml:space="preserve">, S.A., J. </w:t>
      </w:r>
      <w:proofErr w:type="spellStart"/>
      <w:r>
        <w:t>Michaelsen</w:t>
      </w:r>
      <w:proofErr w:type="spellEnd"/>
      <w:r>
        <w:t xml:space="preserve"> et al. 1999. A 560-Year Record of Santa Ana Fires Reconstructed from Charcoal Deposited in the Santa Barbara Basin, California. Quaternary Research 51: 295-305.</w:t>
      </w:r>
    </w:p>
    <w:p w:rsidR="005C1143" w:rsidP="005C1143" w:rsidRDefault="005C1143" w14:paraId="70D2950E" w14:textId="77777777"/>
    <w:p w:rsidR="005C1143" w:rsidP="005C1143" w:rsidRDefault="005C1143" w14:paraId="59AD2F33" w14:textId="77777777">
      <w:r>
        <w:t>Moritz, M.A., J.E. Keeley, E.A. Johnson and A.A. Schaffner. 2004. Testing a basic assumption of shrubland fire management: Does the hazard of burning increase with the age of fuels? Frontiers in Ecology and the Environment 2: 67-72.</w:t>
      </w:r>
    </w:p>
    <w:p w:rsidR="005C1143" w:rsidP="005C1143" w:rsidRDefault="005C1143" w14:paraId="63F88DC5" w14:textId="77777777"/>
    <w:p w:rsidR="005C1143" w:rsidP="005C1143" w:rsidRDefault="005C1143" w14:paraId="51639B07" w14:textId="77777777">
      <w:r>
        <w:t>NatureServe. 2007. International Ecological Classification Standard: Terrestrial Ecological Classifications. NatureServe Central Databases. Arlington, VA. Data current as of 10 February 2007.</w:t>
      </w:r>
    </w:p>
    <w:p w:rsidR="005C1143" w:rsidP="005C1143" w:rsidRDefault="005C1143" w14:paraId="753F3AEC" w14:textId="77777777"/>
    <w:p w:rsidR="005C1143" w:rsidP="005C1143" w:rsidRDefault="005C1143" w14:paraId="15C478B5" w14:textId="36636150">
      <w:r>
        <w:t>Wells P.V. 1962. Vegetation in relation to geological substratum and fire in the San Luis Obispo quadrangle, California. Ecological Monographs 32: 79-103.</w:t>
      </w:r>
    </w:p>
    <w:p w:rsidR="005C1143" w:rsidP="005C1143" w:rsidRDefault="005C1143" w14:paraId="2D576CBB" w14:textId="77777777"/>
    <w:p w:rsidR="005C1143" w:rsidP="005C1143" w:rsidRDefault="005C1143" w14:paraId="0DF30586" w14:textId="1D990B36">
      <w:proofErr w:type="spellStart"/>
      <w:r>
        <w:t>Zedler</w:t>
      </w:r>
      <w:proofErr w:type="spellEnd"/>
      <w:r>
        <w:t xml:space="preserve">, P.H. 1995. Plant life history and dynamic specialization in the chaparral/coastal sage scrub flora in southern California. In: Arroyo, M.T.K., P.A. </w:t>
      </w:r>
      <w:proofErr w:type="spellStart"/>
      <w:r>
        <w:t>Zedler</w:t>
      </w:r>
      <w:proofErr w:type="spellEnd"/>
      <w:r>
        <w:t xml:space="preserve"> and M.D. Fox, eds. Ecology and Biogeography of Mediterranean Ecosystems in Chile, California, and Australia. NY: Springer-Verlag. 89-115.</w:t>
      </w:r>
    </w:p>
    <w:p w:rsidR="005C1143" w:rsidP="005C1143" w:rsidRDefault="005C1143" w14:paraId="3F279303" w14:textId="77777777"/>
    <w:p w:rsidR="005C1143" w:rsidP="005C1143" w:rsidRDefault="005C1143" w14:paraId="6C3FAFCE" w14:textId="77777777">
      <w:proofErr w:type="spellStart"/>
      <w:r>
        <w:t>Zedler</w:t>
      </w:r>
      <w:proofErr w:type="spellEnd"/>
      <w:r>
        <w:t>, P.H., C.R. Gautier, C.R. and G.S. McMaster. 1983. Vegetation change in response to extreme events: the effect of a short interval between fires in California chaparral and coastal sage scrub. Ecology 64: 809-818.</w:t>
      </w:r>
    </w:p>
    <w:p w:rsidRPr="00A43E41" w:rsidR="004D5F12" w:rsidP="005C1143" w:rsidRDefault="004D5F12" w14:paraId="62486A3E"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5ACF68" w14:textId="77777777" w:rsidR="00F335DE" w:rsidRDefault="00F335DE">
      <w:r>
        <w:separator/>
      </w:r>
    </w:p>
  </w:endnote>
  <w:endnote w:type="continuationSeparator" w:id="0">
    <w:p w14:paraId="084388C0" w14:textId="77777777" w:rsidR="00F335DE" w:rsidRDefault="00F335DE">
      <w:r>
        <w:continuationSeparator/>
      </w:r>
    </w:p>
  </w:endnote>
  <w:endnote w:type="continuationNotice" w:id="1">
    <w:p w14:paraId="6FF2121B" w14:textId="77777777" w:rsidR="00F335DE" w:rsidRDefault="00F335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9040C4" w14:textId="77777777" w:rsidR="005C1143" w:rsidRDefault="005C1143" w:rsidP="005C114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BD9F4B" w14:textId="77777777" w:rsidR="00F335DE" w:rsidRDefault="00F335DE">
      <w:r>
        <w:separator/>
      </w:r>
    </w:p>
  </w:footnote>
  <w:footnote w:type="continuationSeparator" w:id="0">
    <w:p w14:paraId="0CD02311" w14:textId="77777777" w:rsidR="00F335DE" w:rsidRDefault="00F335DE">
      <w:r>
        <w:continuationSeparator/>
      </w:r>
    </w:p>
  </w:footnote>
  <w:footnote w:type="continuationNotice" w:id="1">
    <w:p w14:paraId="09E1AF9E" w14:textId="77777777" w:rsidR="00F335DE" w:rsidRDefault="00F335D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C553F7" w14:textId="77777777" w:rsidR="00A43E41" w:rsidRDefault="00A43E41" w:rsidP="005C114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BF23F7"/>
    <w:pPr>
      <w:ind w:left="720"/>
    </w:pPr>
    <w:rPr>
      <w:rFonts w:ascii="Calibri" w:eastAsiaTheme="minorHAnsi" w:hAnsi="Calibri"/>
      <w:sz w:val="22"/>
      <w:szCs w:val="22"/>
    </w:rPr>
  </w:style>
  <w:style w:type="character" w:styleId="Hyperlink">
    <w:name w:val="Hyperlink"/>
    <w:basedOn w:val="DefaultParagraphFont"/>
    <w:rsid w:val="00BF23F7"/>
    <w:rPr>
      <w:color w:val="0000FF" w:themeColor="hyperlink"/>
      <w:u w:val="single"/>
    </w:rPr>
  </w:style>
  <w:style w:type="paragraph" w:styleId="BalloonText">
    <w:name w:val="Balloon Text"/>
    <w:basedOn w:val="Normal"/>
    <w:link w:val="BalloonTextChar"/>
    <w:uiPriority w:val="99"/>
    <w:semiHidden/>
    <w:unhideWhenUsed/>
    <w:rsid w:val="00BF23F7"/>
    <w:rPr>
      <w:rFonts w:ascii="Tahoma" w:hAnsi="Tahoma" w:cs="Tahoma"/>
      <w:sz w:val="16"/>
      <w:szCs w:val="16"/>
    </w:rPr>
  </w:style>
  <w:style w:type="character" w:customStyle="1" w:styleId="BalloonTextChar">
    <w:name w:val="Balloon Text Char"/>
    <w:basedOn w:val="DefaultParagraphFont"/>
    <w:link w:val="BalloonText"/>
    <w:uiPriority w:val="99"/>
    <w:semiHidden/>
    <w:rsid w:val="00BF23F7"/>
    <w:rPr>
      <w:rFonts w:ascii="Tahoma" w:hAnsi="Tahoma" w:cs="Tahoma"/>
      <w:sz w:val="16"/>
      <w:szCs w:val="16"/>
    </w:rPr>
  </w:style>
  <w:style w:type="paragraph" w:styleId="HTMLPreformatted">
    <w:name w:val="HTML Preformatted"/>
    <w:basedOn w:val="Normal"/>
    <w:link w:val="HTMLPreformattedChar"/>
    <w:uiPriority w:val="99"/>
    <w:semiHidden/>
    <w:unhideWhenUsed/>
    <w:rsid w:val="00824B11"/>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824B11"/>
    <w:rPr>
      <w:rFonts w:ascii="Consolas" w:hAnsi="Consolas" w:cs="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961697">
      <w:bodyDiv w:val="1"/>
      <w:marLeft w:val="0"/>
      <w:marRight w:val="0"/>
      <w:marTop w:val="0"/>
      <w:marBottom w:val="0"/>
      <w:divBdr>
        <w:top w:val="none" w:sz="0" w:space="0" w:color="auto"/>
        <w:left w:val="none" w:sz="0" w:space="0" w:color="auto"/>
        <w:bottom w:val="none" w:sz="0" w:space="0" w:color="auto"/>
        <w:right w:val="none" w:sz="0" w:space="0" w:color="auto"/>
      </w:divBdr>
    </w:div>
    <w:div w:id="1728796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5</Pages>
  <Words>1656</Words>
  <Characters>9445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2014-08-19T01:12:00Z</cp:lastPrinted>
  <dcterms:created xsi:type="dcterms:W3CDTF">2017-09-26T23:36:00Z</dcterms:created>
  <dcterms:modified xsi:type="dcterms:W3CDTF">2025-02-12T09:41:22Z</dcterms:modified>
</cp:coreProperties>
</file>