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89A" w:rsidP="0028089A" w:rsidRDefault="0028089A">
      <w:pPr>
        <w:pStyle w:val="BpSTitle"/>
      </w:pPr>
      <w:r>
        <w:t>11270</w:t>
      </w:r>
    </w:p>
    <w:p w:rsidR="0028089A" w:rsidP="0028089A" w:rsidRDefault="0028089A">
      <w:pPr>
        <w:pStyle w:val="BpSTitle"/>
      </w:pPr>
      <w:r>
        <w:t>Inter-Mountain Basins Semi-Desert Shrub-Steppe</w:t>
      </w:r>
    </w:p>
    <w:p w:rsidR="0028089A" w:rsidP="0028089A" w:rsidRDefault="0028089A">
      <w:r>
        <w:t>BpS Model/Description Version: Aug. 2020</w:t>
      </w:r>
      <w:r>
        <w:tab/>
      </w:r>
      <w:r>
        <w:tab/>
      </w:r>
      <w:r>
        <w:tab/>
      </w:r>
      <w:r>
        <w:tab/>
      </w:r>
      <w:r>
        <w:tab/>
      </w:r>
      <w:r>
        <w:tab/>
      </w:r>
      <w:r>
        <w:tab/>
      </w:r>
    </w:p>
    <w:p w:rsidR="0028089A" w:rsidP="0028089A" w:rsidRDefault="0028089A"/>
    <w:p w:rsidR="0028089A" w:rsidP="0028089A" w:rsidRDefault="0028089A"/>
    <w:p w:rsidR="0028089A" w:rsidP="0028089A" w:rsidRDefault="0028089A">
      <w:pPr>
        <w:pStyle w:val="InfoPara"/>
      </w:pPr>
      <w:r>
        <w:t>Vegetation Type</w:t>
      </w:r>
    </w:p>
    <w:p w:rsidR="0028089A" w:rsidP="0028089A" w:rsidRDefault="008A7C4F">
      <w:r w:rsidRPr="008A7C4F">
        <w:t xml:space="preserve">Steppe/Savanna </w:t>
      </w:r>
      <w:bookmarkStart w:name="_GoBack" w:id="0"/>
      <w:bookmarkEnd w:id="0"/>
    </w:p>
    <w:p w:rsidR="0028089A" w:rsidP="0028089A" w:rsidRDefault="0028089A">
      <w:pPr>
        <w:pStyle w:val="InfoPara"/>
      </w:pPr>
      <w:r>
        <w:t>Map Zones</w:t>
      </w:r>
    </w:p>
    <w:p w:rsidR="0028089A" w:rsidP="0028089A" w:rsidRDefault="0028089A">
      <w:r>
        <w:t>14</w:t>
      </w:r>
    </w:p>
    <w:p w:rsidR="0028089A" w:rsidP="0028089A" w:rsidRDefault="0028089A">
      <w:pPr>
        <w:pStyle w:val="InfoPara"/>
      </w:pPr>
      <w:r>
        <w:t>Geographic Range</w:t>
      </w:r>
    </w:p>
    <w:p w:rsidR="0028089A" w:rsidP="0028089A" w:rsidRDefault="0028089A">
      <w:r>
        <w:t>This ecological system is scattered throughout MZ14.</w:t>
      </w:r>
    </w:p>
    <w:p w:rsidR="0028089A" w:rsidP="0028089A" w:rsidRDefault="0028089A">
      <w:pPr>
        <w:pStyle w:val="InfoPara"/>
      </w:pPr>
      <w:r>
        <w:t>Biophysical Site Description</w:t>
      </w:r>
    </w:p>
    <w:p w:rsidR="0028089A" w:rsidP="0028089A" w:rsidRDefault="0028089A">
      <w:r>
        <w:t>The community type is found at elevations ranging from 3</w:t>
      </w:r>
      <w:r w:rsidR="00AB67F6">
        <w:t>,</w:t>
      </w:r>
      <w:r>
        <w:t>500-6</w:t>
      </w:r>
      <w:r w:rsidR="00AB67F6">
        <w:t>,</w:t>
      </w:r>
      <w:r>
        <w:t>500ft. The climate where this system occurs is generally hot in summers and cold in winters with low annual precipitation, ranging from 5-12in and high inter-annual variation. Much of the precipitation falls as snow, and growing-season drought is characteristic. Temperatures are continental with large annual and diurnal variation. Mean annual temperature ranges from 52-69 degrees F. Average growing season ranges from 140-250 days. Sites are generally on lower piedmont slopes and alluvial flats with shallow to very deep soils. Slopes range from 2-30% but are typically 2-15%. Substrates are generally calcareous derived from alluvium, medium to coarse-textured alluvial soils. Soils may be alkaline.</w:t>
      </w:r>
    </w:p>
    <w:p w:rsidR="0028089A" w:rsidP="0028089A" w:rsidRDefault="0028089A">
      <w:pPr>
        <w:pStyle w:val="InfoPara"/>
      </w:pPr>
      <w:r>
        <w:t>Vegetation Description</w:t>
      </w:r>
    </w:p>
    <w:p w:rsidR="0028089A" w:rsidP="0028089A" w:rsidRDefault="0028089A">
      <w:r>
        <w:t xml:space="preserve">The plant associations in this system are characterized by a somewhat sparse to moderately dense (15-35% cover) shrub layer of </w:t>
      </w:r>
      <w:proofErr w:type="spellStart"/>
      <w:r w:rsidRPr="000F7BE1">
        <w:rPr>
          <w:i/>
        </w:rPr>
        <w:t>Grayia</w:t>
      </w:r>
      <w:proofErr w:type="spellEnd"/>
      <w:r w:rsidRPr="000F7BE1">
        <w:rPr>
          <w:i/>
        </w:rPr>
        <w:t xml:space="preserve"> </w:t>
      </w:r>
      <w:proofErr w:type="spellStart"/>
      <w:r w:rsidRPr="000F7BE1">
        <w:rPr>
          <w:i/>
        </w:rPr>
        <w:t>spinosa</w:t>
      </w:r>
      <w:proofErr w:type="spellEnd"/>
      <w:r>
        <w:t xml:space="preserve">, </w:t>
      </w:r>
      <w:r w:rsidRPr="000F7BE1">
        <w:rPr>
          <w:i/>
        </w:rPr>
        <w:t>Artemisia</w:t>
      </w:r>
      <w:r>
        <w:t xml:space="preserve"> spp</w:t>
      </w:r>
      <w:r w:rsidR="000F7BE1">
        <w:t>.</w:t>
      </w:r>
      <w:r>
        <w:t xml:space="preserve">, </w:t>
      </w:r>
      <w:proofErr w:type="spellStart"/>
      <w:r w:rsidRPr="000F7BE1">
        <w:rPr>
          <w:i/>
        </w:rPr>
        <w:t>Menodora</w:t>
      </w:r>
      <w:proofErr w:type="spellEnd"/>
      <w:r>
        <w:t xml:space="preserve"> spp</w:t>
      </w:r>
      <w:r w:rsidR="000F7BE1">
        <w:t>.</w:t>
      </w:r>
      <w:r>
        <w:t xml:space="preserve">, </w:t>
      </w:r>
      <w:r w:rsidRPr="000F7BE1">
        <w:rPr>
          <w:i/>
        </w:rPr>
        <w:t xml:space="preserve">Ephedra </w:t>
      </w:r>
      <w:proofErr w:type="spellStart"/>
      <w:r w:rsidRPr="000F7BE1">
        <w:rPr>
          <w:i/>
        </w:rPr>
        <w:t>nevadensis</w:t>
      </w:r>
      <w:proofErr w:type="spellEnd"/>
      <w:r>
        <w:t xml:space="preserve">, </w:t>
      </w:r>
      <w:r w:rsidRPr="000F7BE1">
        <w:rPr>
          <w:i/>
        </w:rPr>
        <w:t>Tetradymia</w:t>
      </w:r>
      <w:r>
        <w:t xml:space="preserve"> spp</w:t>
      </w:r>
      <w:r w:rsidR="000F7BE1">
        <w:t>.</w:t>
      </w:r>
      <w:r>
        <w:t xml:space="preserve">, </w:t>
      </w:r>
      <w:proofErr w:type="spellStart"/>
      <w:r w:rsidRPr="000F7BE1">
        <w:rPr>
          <w:i/>
        </w:rPr>
        <w:t>Atriplex</w:t>
      </w:r>
      <w:proofErr w:type="spellEnd"/>
      <w:r w:rsidRPr="000F7BE1">
        <w:rPr>
          <w:i/>
        </w:rPr>
        <w:t xml:space="preserve"> </w:t>
      </w:r>
      <w:proofErr w:type="spellStart"/>
      <w:r w:rsidRPr="000F7BE1">
        <w:rPr>
          <w:i/>
        </w:rPr>
        <w:t>confertifolia</w:t>
      </w:r>
      <w:proofErr w:type="spellEnd"/>
      <w:r w:rsidR="000F7BE1">
        <w:t>,</w:t>
      </w:r>
      <w:r>
        <w:t xml:space="preserve"> and </w:t>
      </w:r>
      <w:proofErr w:type="spellStart"/>
      <w:r w:rsidRPr="000F7BE1">
        <w:rPr>
          <w:i/>
        </w:rPr>
        <w:t>Lycium</w:t>
      </w:r>
      <w:proofErr w:type="spellEnd"/>
      <w:r>
        <w:t xml:space="preserve"> spp. The herbaceous layer is dominated by bunch grasses which occupy patches in the shrub matrix. Perennial grass species include </w:t>
      </w:r>
      <w:proofErr w:type="spellStart"/>
      <w:r w:rsidRPr="000F7BE1">
        <w:rPr>
          <w:i/>
        </w:rPr>
        <w:t>Pleuraphis</w:t>
      </w:r>
      <w:proofErr w:type="spellEnd"/>
      <w:r>
        <w:t xml:space="preserve"> spp</w:t>
      </w:r>
      <w:r w:rsidR="000F7BE1">
        <w:t>.</w:t>
      </w:r>
      <w:r>
        <w:t xml:space="preserve">, </w:t>
      </w:r>
      <w:proofErr w:type="spellStart"/>
      <w:r w:rsidRPr="000F7BE1">
        <w:rPr>
          <w:i/>
        </w:rPr>
        <w:t>Achnatherum</w:t>
      </w:r>
      <w:proofErr w:type="spellEnd"/>
      <w:r w:rsidRPr="000F7BE1">
        <w:rPr>
          <w:i/>
        </w:rPr>
        <w:t xml:space="preserve"> </w:t>
      </w:r>
      <w:proofErr w:type="spellStart"/>
      <w:r w:rsidRPr="000F7BE1">
        <w:rPr>
          <w:i/>
        </w:rPr>
        <w:t>speciosum</w:t>
      </w:r>
      <w:proofErr w:type="spellEnd"/>
      <w:r>
        <w:t xml:space="preserve">, </w:t>
      </w:r>
      <w:proofErr w:type="spellStart"/>
      <w:r w:rsidRPr="000F7BE1">
        <w:rPr>
          <w:i/>
        </w:rPr>
        <w:t>Muhlenbergia</w:t>
      </w:r>
      <w:proofErr w:type="spellEnd"/>
      <w:r w:rsidRPr="000F7BE1">
        <w:rPr>
          <w:i/>
        </w:rPr>
        <w:t xml:space="preserve"> </w:t>
      </w:r>
      <w:r w:rsidRPr="000F7BE1" w:rsidR="000F7BE1">
        <w:rPr>
          <w:i/>
        </w:rPr>
        <w:t>porter</w:t>
      </w:r>
      <w:r w:rsidR="000F7BE1">
        <w:t>,</w:t>
      </w:r>
      <w:r>
        <w:t xml:space="preserve"> and </w:t>
      </w:r>
      <w:proofErr w:type="spellStart"/>
      <w:r w:rsidRPr="000F7BE1">
        <w:rPr>
          <w:i/>
        </w:rPr>
        <w:t>Achnatherum</w:t>
      </w:r>
      <w:proofErr w:type="spellEnd"/>
      <w:r w:rsidRPr="000F7BE1">
        <w:rPr>
          <w:i/>
        </w:rPr>
        <w:t xml:space="preserve"> </w:t>
      </w:r>
      <w:proofErr w:type="spellStart"/>
      <w:r w:rsidRPr="000F7BE1">
        <w:rPr>
          <w:i/>
        </w:rPr>
        <w:t>hymenoides</w:t>
      </w:r>
      <w:proofErr w:type="spellEnd"/>
      <w:r>
        <w:t xml:space="preserve">. Forbs are generally of low importance and are highly variable across the range, but may be diverse in some occurrences. Species that often occur are </w:t>
      </w:r>
      <w:r w:rsidRPr="000F7BE1">
        <w:rPr>
          <w:i/>
        </w:rPr>
        <w:t>Astragalus</w:t>
      </w:r>
      <w:r>
        <w:t xml:space="preserve">, </w:t>
      </w:r>
      <w:proofErr w:type="spellStart"/>
      <w:r w:rsidRPr="000F7BE1">
        <w:rPr>
          <w:i/>
        </w:rPr>
        <w:t>Eriogonum</w:t>
      </w:r>
      <w:proofErr w:type="spellEnd"/>
      <w:r>
        <w:t xml:space="preserve">, </w:t>
      </w:r>
      <w:r w:rsidRPr="000F7BE1">
        <w:rPr>
          <w:i/>
        </w:rPr>
        <w:t>Penstemon</w:t>
      </w:r>
      <w:r w:rsidR="000F7BE1">
        <w:t>,</w:t>
      </w:r>
      <w:r>
        <w:t xml:space="preserve"> and </w:t>
      </w:r>
      <w:proofErr w:type="spellStart"/>
      <w:r w:rsidRPr="000F7BE1">
        <w:rPr>
          <w:i/>
        </w:rPr>
        <w:t>Sphaeralcea</w:t>
      </w:r>
      <w:proofErr w:type="spellEnd"/>
      <w:r>
        <w:t>.</w:t>
      </w:r>
    </w:p>
    <w:p w:rsidR="0028089A" w:rsidP="0028089A" w:rsidRDefault="0028089A">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8089A" w:rsidP="0028089A" w:rsidRDefault="0028089A">
      <w:pPr>
        <w:pStyle w:val="InfoPara"/>
      </w:pPr>
      <w:r>
        <w:t>Disturbance Description</w:t>
      </w:r>
    </w:p>
    <w:p w:rsidR="0028089A" w:rsidP="0028089A" w:rsidRDefault="0028089A">
      <w:r>
        <w:lastRenderedPageBreak/>
        <w:t>Disturbance is unpredictable in these systems. However, drought, insec</w:t>
      </w:r>
      <w:r w:rsidR="000F7BE1">
        <w:t>ts and fire may all occur here.</w:t>
      </w:r>
    </w:p>
    <w:p w:rsidR="0028089A" w:rsidP="0028089A" w:rsidRDefault="0028089A"/>
    <w:p w:rsidR="0028089A" w:rsidP="0028089A" w:rsidRDefault="0028089A">
      <w:r>
        <w:t>Fire was infrequent and somewhat dependent on fire importation from the upper sagebrush zone. Replac</w:t>
      </w:r>
      <w:r w:rsidR="000F7BE1">
        <w:t>ement fire was the primary fire and increased</w:t>
      </w:r>
      <w:r>
        <w:t xml:space="preserve"> with shrub development intermixed with grass.</w:t>
      </w:r>
    </w:p>
    <w:p w:rsidR="0028089A" w:rsidP="0028089A" w:rsidRDefault="00AB67F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8089A" w:rsidP="0028089A" w:rsidRDefault="0028089A">
      <w:pPr>
        <w:pStyle w:val="InfoPara"/>
      </w:pPr>
      <w:r>
        <w:t>Scale Description</w:t>
      </w:r>
    </w:p>
    <w:p w:rsidR="0028089A" w:rsidP="0028089A" w:rsidRDefault="0028089A">
      <w:r>
        <w:t xml:space="preserve">This </w:t>
      </w:r>
      <w:proofErr w:type="spellStart"/>
      <w:r>
        <w:t>BpS</w:t>
      </w:r>
      <w:proofErr w:type="spellEnd"/>
      <w:r>
        <w:t xml:space="preserve"> occupies a narrow elevation band that can be scattered in many valleys (&gt;1</w:t>
      </w:r>
      <w:r w:rsidR="00AB67F6">
        <w:t>,</w:t>
      </w:r>
      <w:r>
        <w:t xml:space="preserve">000ac). Disturbance scale was variable during pre-settlement. Droughts and extended wet periods could be region wide, or more local. A series of high water years or drought could affect whole basins. </w:t>
      </w:r>
    </w:p>
    <w:p w:rsidR="0028089A" w:rsidP="0028089A" w:rsidRDefault="0028089A"/>
    <w:p w:rsidR="0028089A" w:rsidP="0028089A" w:rsidRDefault="0028089A">
      <w:r>
        <w:t>Most fires were rare and less than one acre, but may have exceeded hundreds of acres with a good grass crop.</w:t>
      </w:r>
    </w:p>
    <w:p w:rsidR="0028089A" w:rsidP="0028089A" w:rsidRDefault="0028089A">
      <w:pPr>
        <w:pStyle w:val="InfoPara"/>
      </w:pPr>
      <w:r>
        <w:t>Adjacency or Identification Concerns</w:t>
      </w:r>
    </w:p>
    <w:p w:rsidR="0028089A" w:rsidP="0028089A" w:rsidRDefault="0028089A">
      <w:r>
        <w:t xml:space="preserve">This </w:t>
      </w:r>
      <w:proofErr w:type="spellStart"/>
      <w:r>
        <w:t>BpS</w:t>
      </w:r>
      <w:proofErr w:type="spellEnd"/>
      <w:r>
        <w:t xml:space="preserve"> is transitional between salt desert shrub (1081) and </w:t>
      </w:r>
      <w:proofErr w:type="spellStart"/>
      <w:r>
        <w:t>creosotebush</w:t>
      </w:r>
      <w:proofErr w:type="spellEnd"/>
      <w:r>
        <w:t xml:space="preserve"> scrub (1087) at lower elevations, and Inter-Mountain Basins Big Sagebrush Shrublands (1080) and Inter-Mountain Basins Xeric Sagebrush Shrublands (1079) at higher elevations. Intermingling of ecological systems on different lifeforms and aspects on alluvial fans creates this </w:t>
      </w:r>
      <w:proofErr w:type="spellStart"/>
      <w:r>
        <w:t>BpS</w:t>
      </w:r>
      <w:proofErr w:type="spellEnd"/>
      <w:r>
        <w:t>.</w:t>
      </w:r>
    </w:p>
    <w:p w:rsidR="0028089A" w:rsidP="0028089A" w:rsidRDefault="0028089A"/>
    <w:p w:rsidR="0028089A" w:rsidP="0028089A" w:rsidRDefault="0028089A">
      <w:r>
        <w:t>Upland shrub communities are easily invaded and, in the short term at least, replaced by red brome and cheatgrass. Other nonnative problematic annuals include Russian thistle and several mustards.</w:t>
      </w:r>
    </w:p>
    <w:p w:rsidR="0028089A" w:rsidP="0028089A" w:rsidRDefault="0028089A">
      <w:pPr>
        <w:pStyle w:val="InfoPara"/>
      </w:pPr>
      <w:r>
        <w:t>Issues or Problems</w:t>
      </w:r>
    </w:p>
    <w:p w:rsidR="0028089A" w:rsidP="0028089A" w:rsidRDefault="0028089A"/>
    <w:p w:rsidR="0028089A" w:rsidP="0028089A" w:rsidRDefault="0028089A">
      <w:pPr>
        <w:pStyle w:val="InfoPara"/>
      </w:pPr>
      <w:r>
        <w:t>Native Uncharacteristic Conditions</w:t>
      </w:r>
    </w:p>
    <w:p w:rsidR="0028089A" w:rsidP="0028089A" w:rsidRDefault="0028089A">
      <w:r>
        <w:t>Shrub cover &gt;50% is uncharacteristic.</w:t>
      </w:r>
    </w:p>
    <w:p w:rsidR="0028089A" w:rsidP="0028089A" w:rsidRDefault="0028089A">
      <w:pPr>
        <w:pStyle w:val="InfoPara"/>
      </w:pPr>
      <w:r>
        <w:t>Comments</w:t>
      </w:r>
    </w:p>
    <w:p w:rsidR="00717EF7" w:rsidP="00717EF7" w:rsidRDefault="00717EF7">
      <w:pPr>
        <w:rPr>
          <w:b/>
        </w:rPr>
      </w:pPr>
    </w:p>
    <w:p w:rsidR="0028089A" w:rsidP="0028089A" w:rsidRDefault="0028089A">
      <w:pPr>
        <w:pStyle w:val="ReportSection"/>
      </w:pPr>
      <w:r>
        <w:t>Succession Classes</w:t>
      </w:r>
    </w:p>
    <w:p w:rsidR="0028089A" w:rsidP="0028089A" w:rsidRDefault="0028089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8089A" w:rsidP="0028089A" w:rsidRDefault="0028089A">
      <w:pPr>
        <w:pStyle w:val="InfoPara"/>
        <w:pBdr>
          <w:top w:val="single" w:color="auto" w:sz="4" w:space="1"/>
        </w:pBdr>
      </w:pPr>
      <w:r>
        <w:t>Class A</w:t>
      </w:r>
      <w:r>
        <w:tab/>
        <w:t>29</w:t>
      </w:r>
      <w:r w:rsidR="002A3B10">
        <w:tab/>
      </w:r>
      <w:r w:rsidR="002A3B10">
        <w:tab/>
      </w:r>
      <w:r w:rsidR="002A3B10">
        <w:tab/>
      </w:r>
      <w:r w:rsidR="002A3B10">
        <w:tab/>
      </w:r>
      <w:r w:rsidR="004F7795">
        <w:t>Early Development 1 - Open</w:t>
      </w:r>
    </w:p>
    <w:bookmarkEnd w:id="1"/>
    <w:p w:rsidR="0028089A" w:rsidP="0028089A" w:rsidRDefault="0028089A"/>
    <w:p w:rsidR="0028089A" w:rsidP="0028089A" w:rsidRDefault="0028089A">
      <w:pPr>
        <w:pStyle w:val="SClassInfoPara"/>
      </w:pPr>
      <w:r>
        <w:t>Indicator Species</w:t>
      </w:r>
    </w:p>
    <w:p w:rsidR="0028089A" w:rsidP="0028089A" w:rsidRDefault="0028089A"/>
    <w:p w:rsidR="0028089A" w:rsidP="0028089A" w:rsidRDefault="0028089A">
      <w:pPr>
        <w:pStyle w:val="SClassInfoPara"/>
      </w:pPr>
      <w:r>
        <w:t>Description</w:t>
      </w:r>
    </w:p>
    <w:p w:rsidR="0028089A" w:rsidP="0028089A" w:rsidRDefault="0028089A">
      <w:r>
        <w:t>Dominated by continuous perennial grasses with widely scattered dwarf shrub</w:t>
      </w:r>
      <w:r w:rsidR="000F7BE1">
        <w:t>s and relatively younger shrubs.</w:t>
      </w:r>
    </w:p>
    <w:p w:rsidR="0028089A" w:rsidP="0028089A" w:rsidRDefault="0028089A"/>
    <w:p>
      <w:r>
        <w:rPr>
          <w:i/>
          <w:u w:val="single"/>
        </w:rPr>
        <w:t>Maximum Tree Size Class</w:t>
      </w:r>
      <w:br/>
      <w:r>
        <w:t>None</w:t>
      </w:r>
    </w:p>
    <w:p w:rsidR="0028089A" w:rsidP="0028089A" w:rsidRDefault="0028089A">
      <w:pPr>
        <w:pStyle w:val="InfoPara"/>
        <w:pBdr>
          <w:top w:val="single" w:color="auto" w:sz="4" w:space="1"/>
        </w:pBdr>
      </w:pPr>
      <w:r>
        <w:t>Class B</w:t>
      </w:r>
      <w:r>
        <w:tab/>
        <w:t>71</w:t>
      </w:r>
      <w:r w:rsidR="002A3B10">
        <w:tab/>
      </w:r>
      <w:r w:rsidR="002A3B10">
        <w:tab/>
      </w:r>
      <w:r w:rsidR="002A3B10">
        <w:tab/>
      </w:r>
      <w:r w:rsidR="002A3B10">
        <w:tab/>
      </w:r>
      <w:r w:rsidR="004F7795">
        <w:t>Mid Development 1 - Open</w:t>
      </w:r>
    </w:p>
    <w:p w:rsidR="0028089A" w:rsidP="0028089A" w:rsidRDefault="0028089A"/>
    <w:p w:rsidR="0028089A" w:rsidP="0028089A" w:rsidRDefault="0028089A">
      <w:pPr>
        <w:pStyle w:val="SClassInfoPara"/>
      </w:pPr>
      <w:r>
        <w:t>Indicator Species</w:t>
      </w:r>
    </w:p>
    <w:p w:rsidR="0028089A" w:rsidP="0028089A" w:rsidRDefault="0028089A"/>
    <w:p w:rsidR="0028089A" w:rsidP="0028089A" w:rsidRDefault="0028089A">
      <w:pPr>
        <w:pStyle w:val="SClassInfoPara"/>
      </w:pPr>
      <w:r>
        <w:t>Description</w:t>
      </w:r>
    </w:p>
    <w:p w:rsidR="0028089A" w:rsidP="0028089A" w:rsidRDefault="0028089A">
      <w:r>
        <w:t xml:space="preserve">Discontinuous grass patches, and higher shrub canopy cover. Spiny </w:t>
      </w:r>
      <w:proofErr w:type="spellStart"/>
      <w:r>
        <w:t>hopsage</w:t>
      </w:r>
      <w:proofErr w:type="spellEnd"/>
      <w:r>
        <w:t xml:space="preserve"> or </w:t>
      </w:r>
      <w:proofErr w:type="spellStart"/>
      <w:r w:rsidR="000F7BE1">
        <w:t>menodora</w:t>
      </w:r>
      <w:proofErr w:type="spellEnd"/>
      <w:r w:rsidR="000F7BE1">
        <w:t xml:space="preserve"> dominates.</w:t>
      </w:r>
    </w:p>
    <w:p w:rsidR="0028089A" w:rsidP="0028089A" w:rsidRDefault="0028089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8089A" w:rsidP="0028089A" w:rsidRDefault="0028089A">
      <w:r>
        <w:t>Blaisdell, J.P. and R. C. Holmgren. 1984. Managing intermountain rangelands-salt-desert shrub ranges. General Technical Report INT-163. USDA Forest Service, Intermountain Forest and Range Experiment Station, Ogden, UT. 52 pp.</w:t>
      </w:r>
    </w:p>
    <w:p w:rsidR="0028089A" w:rsidP="0028089A" w:rsidRDefault="0028089A"/>
    <w:p w:rsidR="0028089A" w:rsidP="0028089A" w:rsidRDefault="0028089A">
      <w:r>
        <w:t>NatureServe. 2007. International Ecological Classification Standard: Terrestrial Ecological Classifications. NatureServe Central Databases. Arlington, VA. Data current as of 10 February 2007.</w:t>
      </w:r>
    </w:p>
    <w:p w:rsidR="0028089A" w:rsidP="0028089A" w:rsidRDefault="0028089A"/>
    <w:p w:rsidR="0028089A" w:rsidP="0028089A" w:rsidRDefault="0028089A">
      <w:r>
        <w:t xml:space="preserve">Tiedemann, A.R., E.D. McArthur, H.C. Stutz, R. Stevens and K.L. Johnson, compilers. 1984. Proceedings--symposium on the biology of </w:t>
      </w:r>
      <w:proofErr w:type="spellStart"/>
      <w:r>
        <w:t>Atriplex</w:t>
      </w:r>
      <w:proofErr w:type="spellEnd"/>
      <w:r>
        <w:t xml:space="preserve"> and related chenopods; 1983 May 2-6; Provo, UT. Gen. Tech. Rep. INT-172. Ogden, UT. USDA Forest Service, Intermountain Forest and Range Experiment. 309 pp.</w:t>
      </w:r>
    </w:p>
    <w:p w:rsidR="0028089A" w:rsidP="0028089A" w:rsidRDefault="0028089A"/>
    <w:p w:rsidR="0028089A" w:rsidP="0028089A" w:rsidRDefault="0028089A">
      <w:r>
        <w:lastRenderedPageBreak/>
        <w:t>USDA-NRCS. 2003. Major Land Resource Area 29, 30XA, and 30XB. Nevada Ecological Site Descriptions. Reno State Office, NV. Available online: http://esis.sc.egov.usda.gov/Welcome/pgESDWelcome.aspx.</w:t>
      </w:r>
    </w:p>
    <w:p w:rsidRPr="00A43E41" w:rsidR="004D5F12" w:rsidP="0028089A"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94F" w:rsidRDefault="00EC794F">
      <w:r>
        <w:separator/>
      </w:r>
    </w:p>
  </w:endnote>
  <w:endnote w:type="continuationSeparator" w:id="0">
    <w:p w:rsidR="00EC794F" w:rsidRDefault="00EC7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089A" w:rsidRDefault="0028089A" w:rsidP="002808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94F" w:rsidRDefault="00EC794F">
      <w:r>
        <w:separator/>
      </w:r>
    </w:p>
  </w:footnote>
  <w:footnote w:type="continuationSeparator" w:id="0">
    <w:p w:rsidR="00EC794F" w:rsidRDefault="00EC7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808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17EF7"/>
    <w:pPr>
      <w:ind w:left="720"/>
    </w:pPr>
    <w:rPr>
      <w:rFonts w:ascii="Calibri" w:eastAsiaTheme="minorHAnsi" w:hAnsi="Calibri"/>
      <w:sz w:val="22"/>
      <w:szCs w:val="22"/>
    </w:rPr>
  </w:style>
  <w:style w:type="character" w:styleId="Hyperlink">
    <w:name w:val="Hyperlink"/>
    <w:basedOn w:val="DefaultParagraphFont"/>
    <w:rsid w:val="00717EF7"/>
    <w:rPr>
      <w:color w:val="0000FF" w:themeColor="hyperlink"/>
      <w:u w:val="single"/>
    </w:rPr>
  </w:style>
  <w:style w:type="paragraph" w:styleId="BalloonText">
    <w:name w:val="Balloon Text"/>
    <w:basedOn w:val="Normal"/>
    <w:link w:val="BalloonTextChar"/>
    <w:uiPriority w:val="99"/>
    <w:semiHidden/>
    <w:unhideWhenUsed/>
    <w:rsid w:val="00717EF7"/>
    <w:rPr>
      <w:rFonts w:ascii="Tahoma" w:hAnsi="Tahoma" w:cs="Tahoma"/>
      <w:sz w:val="16"/>
      <w:szCs w:val="16"/>
    </w:rPr>
  </w:style>
  <w:style w:type="character" w:customStyle="1" w:styleId="BalloonTextChar">
    <w:name w:val="Balloon Text Char"/>
    <w:basedOn w:val="DefaultParagraphFont"/>
    <w:link w:val="BalloonText"/>
    <w:uiPriority w:val="99"/>
    <w:semiHidden/>
    <w:rsid w:val="00717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118529">
      <w:bodyDiv w:val="1"/>
      <w:marLeft w:val="0"/>
      <w:marRight w:val="0"/>
      <w:marTop w:val="0"/>
      <w:marBottom w:val="0"/>
      <w:divBdr>
        <w:top w:val="none" w:sz="0" w:space="0" w:color="auto"/>
        <w:left w:val="none" w:sz="0" w:space="0" w:color="auto"/>
        <w:bottom w:val="none" w:sz="0" w:space="0" w:color="auto"/>
        <w:right w:val="none" w:sz="0" w:space="0" w:color="auto"/>
      </w:divBdr>
    </w:div>
    <w:div w:id="14239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2014-08-21T14:13:00Z</cp:lastPrinted>
  <dcterms:created xsi:type="dcterms:W3CDTF">2015-06-23T22:56:00Z</dcterms:created>
  <dcterms:modified xsi:type="dcterms:W3CDTF">2025-02-12T09:41:28Z</dcterms:modified>
</cp:coreProperties>
</file>