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98" w:rsidP="00DE7E98" w:rsidRDefault="00DE7E98" w14:paraId="11B07106" w14:textId="06E9472C">
      <w:pPr>
        <w:pStyle w:val="BpSTitle"/>
      </w:pPr>
      <w:bookmarkStart w:name="_GoBack" w:id="0"/>
      <w:bookmarkEnd w:id="0"/>
      <w:r>
        <w:t>11450</w:t>
      </w:r>
    </w:p>
    <w:p w:rsidR="00DE7E98" w:rsidP="00DE7E98" w:rsidRDefault="00DE7E98" w14:paraId="38ECAA7A" w14:textId="77777777">
      <w:pPr>
        <w:pStyle w:val="BpSTitle"/>
      </w:pPr>
      <w:r>
        <w:t>Rocky Mountain Subalpine-Montane Mesic Meadow</w:t>
      </w:r>
    </w:p>
    <w:p w:rsidR="00DE7E98" w:rsidP="00197130" w:rsidRDefault="00DE7E98" w14:paraId="6A54E61B" w14:textId="26CC7820">
      <w:pPr>
        <w:tabs>
          <w:tab w:val="left" w:pos="7200"/>
        </w:tabs>
      </w:pPr>
      <w:r>
        <w:t>BpS Model/Description Version: Aug. 2020</w:t>
      </w:r>
      <w:r w:rsidR="00C535D2">
        <w:tab/>
      </w:r>
    </w:p>
    <w:p w:rsidR="00DE7E98" w:rsidP="00197130" w:rsidRDefault="00DE7E98" w14:paraId="560C8734" w14:textId="77777777">
      <w:pPr>
        <w:tabs>
          <w:tab w:val="left" w:pos="7200"/>
        </w:tabs>
      </w:pPr>
    </w:p>
    <w:p w:rsidR="00DE7E98" w:rsidP="00DE7E98" w:rsidRDefault="00DE7E98" w14:paraId="64B038DE" w14:textId="77777777"/>
    <w:p w:rsidR="004957F8" w:rsidP="00DE7E98" w:rsidRDefault="004957F8" w14:paraId="4F14FA57" w14:textId="1D639437">
      <w:pPr>
        <w:pStyle w:val="InfoPara"/>
      </w:pPr>
      <w:r>
        <w:t xml:space="preserve">Reviewer: </w:t>
      </w:r>
      <w:r w:rsidRPr="004957F8">
        <w:rPr>
          <w:b w:val="0"/>
        </w:rPr>
        <w:t>Kori Blankenship</w:t>
      </w:r>
    </w:p>
    <w:p w:rsidR="00DE7E98" w:rsidP="00DE7E98" w:rsidRDefault="00DE7E98" w14:paraId="57828300" w14:textId="4593B85F">
      <w:pPr>
        <w:pStyle w:val="InfoPara"/>
      </w:pPr>
      <w:r>
        <w:t>Vegetation Type</w:t>
      </w:r>
    </w:p>
    <w:p w:rsidR="00DE7E98" w:rsidP="00DE7E98" w:rsidRDefault="00DE7E98" w14:paraId="44E8757C" w14:textId="47D4C65C">
      <w:r>
        <w:t>Herbaceous</w:t>
      </w:r>
    </w:p>
    <w:p w:rsidR="00DE7E98" w:rsidP="00DE7E98" w:rsidRDefault="00DE7E98" w14:paraId="24EFF1C3" w14:textId="77777777">
      <w:pPr>
        <w:pStyle w:val="InfoPara"/>
      </w:pPr>
      <w:r>
        <w:t>Map Zones</w:t>
      </w:r>
    </w:p>
    <w:p w:rsidR="00DE7E98" w:rsidP="00DE7E98" w:rsidRDefault="003A76B8" w14:paraId="241A85E8" w14:textId="24BCF894">
      <w:r>
        <w:t>9, 10, 19</w:t>
      </w:r>
    </w:p>
    <w:p w:rsidR="00DE7E98" w:rsidP="00DE7E98" w:rsidRDefault="00DE7E98" w14:paraId="288FD45F" w14:textId="77777777">
      <w:pPr>
        <w:pStyle w:val="InfoPara"/>
      </w:pPr>
      <w:r>
        <w:t>Geographic Range</w:t>
      </w:r>
    </w:p>
    <w:p w:rsidR="00DE7E98" w:rsidP="00DE7E98" w:rsidRDefault="00DE7E98" w14:paraId="30D3181B" w14:textId="72369597">
      <w:r>
        <w:t>Found in the Rocky Mountains</w:t>
      </w:r>
      <w:r w:rsidR="00C535D2">
        <w:t>.</w:t>
      </w:r>
      <w:r>
        <w:t xml:space="preserve"> </w:t>
      </w:r>
      <w:r w:rsidR="00C535D2">
        <w:t>R</w:t>
      </w:r>
      <w:r>
        <w:t>estricted to the sub</w:t>
      </w:r>
      <w:r w:rsidR="00C535D2">
        <w:t>-</w:t>
      </w:r>
      <w:r>
        <w:t>alpine zone</w:t>
      </w:r>
      <w:r w:rsidR="00C535D2">
        <w:t>;</w:t>
      </w:r>
      <w:r>
        <w:t xml:space="preserve"> typically above 3</w:t>
      </w:r>
      <w:r w:rsidR="0031649F">
        <w:t>,</w:t>
      </w:r>
      <w:r>
        <w:t>000m in the southern part and 1</w:t>
      </w:r>
      <w:r w:rsidR="0031649F">
        <w:t>,</w:t>
      </w:r>
      <w:r>
        <w:t>500m in the north.</w:t>
      </w:r>
      <w:r w:rsidR="005172A6">
        <w:t xml:space="preserve"> Th</w:t>
      </w:r>
      <w:r w:rsidR="00C535D2">
        <w:t>is</w:t>
      </w:r>
      <w:r w:rsidR="005172A6">
        <w:t xml:space="preserve"> type can occur in sub</w:t>
      </w:r>
      <w:r w:rsidR="00C535D2">
        <w:t>-</w:t>
      </w:r>
      <w:r w:rsidR="005172A6">
        <w:t xml:space="preserve">alpine regions in the Blue and Wallowa </w:t>
      </w:r>
      <w:r w:rsidR="00C535D2">
        <w:t>mountains</w:t>
      </w:r>
      <w:r w:rsidR="005172A6">
        <w:t xml:space="preserve"> of O</w:t>
      </w:r>
      <w:r w:rsidR="00C535D2">
        <w:t>regon</w:t>
      </w:r>
      <w:r w:rsidR="005172A6">
        <w:t xml:space="preserve"> and W</w:t>
      </w:r>
      <w:r w:rsidR="00C535D2">
        <w:t>ashington</w:t>
      </w:r>
      <w:r w:rsidR="005172A6">
        <w:t>.</w:t>
      </w:r>
    </w:p>
    <w:p w:rsidR="00DE7E98" w:rsidP="00DE7E98" w:rsidRDefault="00DE7E98" w14:paraId="2D508440" w14:textId="77777777">
      <w:pPr>
        <w:pStyle w:val="InfoPara"/>
      </w:pPr>
      <w:r>
        <w:t>Biophysical Site Description</w:t>
      </w:r>
    </w:p>
    <w:p w:rsidR="00DE7E98" w:rsidP="00DE7E98" w:rsidRDefault="00DE7E98" w14:paraId="04EE46D2" w14:textId="3B07B8FE">
      <w:r>
        <w:t>Fine</w:t>
      </w:r>
      <w:r w:rsidR="00C535D2">
        <w:t>-</w:t>
      </w:r>
      <w:r>
        <w:t>texture soils. Snow deposition</w:t>
      </w:r>
      <w:r w:rsidR="00C535D2">
        <w:t>;</w:t>
      </w:r>
      <w:r>
        <w:t xml:space="preserve"> wind</w:t>
      </w:r>
      <w:r w:rsidR="00C535D2">
        <w:t>-</w:t>
      </w:r>
      <w:r>
        <w:t>swept</w:t>
      </w:r>
      <w:r w:rsidR="00C535D2">
        <w:t>,</w:t>
      </w:r>
      <w:r>
        <w:t xml:space="preserve"> dry conditions limit tree establishment. On gentle to moderate</w:t>
      </w:r>
      <w:r w:rsidR="00C535D2">
        <w:t>-</w:t>
      </w:r>
      <w:r>
        <w:t>gradient slopes. Soils seasonally moist in spring, drying out later in the growing season.</w:t>
      </w:r>
    </w:p>
    <w:p w:rsidR="00DE7E98" w:rsidP="00DE7E98" w:rsidRDefault="00DE7E98" w14:paraId="441FA946" w14:textId="77777777">
      <w:pPr>
        <w:pStyle w:val="InfoPara"/>
      </w:pPr>
      <w:r>
        <w:t>Vegetation Description</w:t>
      </w:r>
    </w:p>
    <w:p w:rsidR="00DE7E98" w:rsidP="00DE7E98" w:rsidRDefault="00DE7E98" w14:paraId="0DADCB1C" w14:textId="19796FD7">
      <w:r>
        <w:t xml:space="preserve">Vegetation is typically forb-rich, with forbs contributing more to overall herbaceous cover than graminoids. Important taxa include </w:t>
      </w:r>
      <w:r w:rsidRPr="00197130">
        <w:rPr>
          <w:i/>
        </w:rPr>
        <w:t>Agastache urticifolia</w:t>
      </w:r>
      <w:r>
        <w:t xml:space="preserve">, </w:t>
      </w:r>
      <w:r w:rsidRPr="00197130">
        <w:rPr>
          <w:i/>
        </w:rPr>
        <w:t>Chamerion angustifolium</w:t>
      </w:r>
      <w:r>
        <w:t xml:space="preserve">, </w:t>
      </w:r>
      <w:r w:rsidRPr="00197130">
        <w:rPr>
          <w:i/>
        </w:rPr>
        <w:t>Erigeron</w:t>
      </w:r>
      <w:r>
        <w:t xml:space="preserve"> </w:t>
      </w:r>
      <w:r w:rsidR="00C535D2">
        <w:t>spp.,</w:t>
      </w:r>
      <w:r>
        <w:t xml:space="preserve"> </w:t>
      </w:r>
      <w:r w:rsidRPr="00197130">
        <w:rPr>
          <w:i/>
        </w:rPr>
        <w:t>Senecio</w:t>
      </w:r>
      <w:r>
        <w:t xml:space="preserve"> </w:t>
      </w:r>
      <w:r w:rsidR="00C535D2">
        <w:t>spp.,</w:t>
      </w:r>
      <w:r>
        <w:t xml:space="preserve"> </w:t>
      </w:r>
      <w:r w:rsidRPr="00197130">
        <w:rPr>
          <w:i/>
        </w:rPr>
        <w:t>Helianthella</w:t>
      </w:r>
      <w:r>
        <w:t xml:space="preserve"> </w:t>
      </w:r>
      <w:r w:rsidR="00C535D2">
        <w:t>spp.,</w:t>
      </w:r>
      <w:r>
        <w:t xml:space="preserve"> </w:t>
      </w:r>
      <w:r w:rsidRPr="00197130">
        <w:rPr>
          <w:i/>
        </w:rPr>
        <w:t>Mertensia</w:t>
      </w:r>
      <w:r>
        <w:t xml:space="preserve"> </w:t>
      </w:r>
      <w:r w:rsidR="00C535D2">
        <w:t>spp.,</w:t>
      </w:r>
      <w:r>
        <w:t xml:space="preserve"> </w:t>
      </w:r>
      <w:r w:rsidRPr="00197130">
        <w:rPr>
          <w:i/>
        </w:rPr>
        <w:t>Penstemon</w:t>
      </w:r>
      <w:r>
        <w:t xml:space="preserve"> </w:t>
      </w:r>
      <w:r w:rsidR="00C535D2">
        <w:t>spp.,</w:t>
      </w:r>
      <w:r>
        <w:t xml:space="preserve"> </w:t>
      </w:r>
      <w:r w:rsidRPr="00197130">
        <w:rPr>
          <w:i/>
        </w:rPr>
        <w:t>Campanula</w:t>
      </w:r>
      <w:r>
        <w:t xml:space="preserve"> </w:t>
      </w:r>
      <w:r w:rsidR="00C535D2">
        <w:t>spp.,</w:t>
      </w:r>
      <w:r>
        <w:t xml:space="preserve"> </w:t>
      </w:r>
      <w:r w:rsidRPr="00197130">
        <w:rPr>
          <w:i/>
        </w:rPr>
        <w:t>Hackelia</w:t>
      </w:r>
      <w:r>
        <w:t xml:space="preserve"> </w:t>
      </w:r>
      <w:r w:rsidR="00C535D2">
        <w:t>spp.,</w:t>
      </w:r>
      <w:r>
        <w:t xml:space="preserve"> </w:t>
      </w:r>
      <w:r w:rsidRPr="00197130">
        <w:rPr>
          <w:i/>
        </w:rPr>
        <w:t>Lupinus</w:t>
      </w:r>
      <w:r>
        <w:t xml:space="preserve"> </w:t>
      </w:r>
      <w:r w:rsidR="00C535D2">
        <w:t>spp.,</w:t>
      </w:r>
      <w:r>
        <w:t xml:space="preserve"> </w:t>
      </w:r>
      <w:r w:rsidRPr="00197130">
        <w:rPr>
          <w:i/>
        </w:rPr>
        <w:t>Solidago</w:t>
      </w:r>
      <w:r>
        <w:t xml:space="preserve"> </w:t>
      </w:r>
      <w:r w:rsidR="00C535D2">
        <w:t>spp.,</w:t>
      </w:r>
      <w:r>
        <w:t xml:space="preserve"> </w:t>
      </w:r>
      <w:r w:rsidRPr="00197130">
        <w:rPr>
          <w:i/>
        </w:rPr>
        <w:t>Ligusticum</w:t>
      </w:r>
      <w:r>
        <w:t xml:space="preserve"> </w:t>
      </w:r>
      <w:r w:rsidR="00C535D2">
        <w:t>spp.,</w:t>
      </w:r>
      <w:r>
        <w:t xml:space="preserve"> </w:t>
      </w:r>
      <w:r w:rsidRPr="00197130">
        <w:rPr>
          <w:i/>
        </w:rPr>
        <w:t>Osmorhiza</w:t>
      </w:r>
      <w:r>
        <w:t xml:space="preserve"> </w:t>
      </w:r>
      <w:r w:rsidR="00C535D2">
        <w:t>spp.,</w:t>
      </w:r>
      <w:r>
        <w:t xml:space="preserve"> </w:t>
      </w:r>
      <w:r w:rsidRPr="00197130">
        <w:rPr>
          <w:i/>
        </w:rPr>
        <w:t>Thalictrum</w:t>
      </w:r>
      <w:r>
        <w:t xml:space="preserve"> </w:t>
      </w:r>
      <w:r w:rsidR="00C535D2">
        <w:t>spp.,</w:t>
      </w:r>
      <w:r>
        <w:t xml:space="preserve"> </w:t>
      </w:r>
      <w:r w:rsidRPr="00197130">
        <w:rPr>
          <w:i/>
        </w:rPr>
        <w:t>Valeriana</w:t>
      </w:r>
      <w:r>
        <w:t xml:space="preserve"> </w:t>
      </w:r>
      <w:r w:rsidR="00C535D2">
        <w:t>spp.,</w:t>
      </w:r>
      <w:r>
        <w:t xml:space="preserve"> </w:t>
      </w:r>
      <w:r w:rsidRPr="00197130">
        <w:rPr>
          <w:i/>
        </w:rPr>
        <w:t>Veratrum</w:t>
      </w:r>
      <w:r>
        <w:t xml:space="preserve"> </w:t>
      </w:r>
      <w:r w:rsidR="00C535D2">
        <w:t>spp.,</w:t>
      </w:r>
      <w:r>
        <w:t xml:space="preserve"> </w:t>
      </w:r>
      <w:r w:rsidRPr="00197130">
        <w:rPr>
          <w:i/>
        </w:rPr>
        <w:t>Delphinium</w:t>
      </w:r>
      <w:r>
        <w:t xml:space="preserve"> </w:t>
      </w:r>
      <w:r w:rsidR="00C535D2">
        <w:t>spp.,</w:t>
      </w:r>
      <w:r>
        <w:t xml:space="preserve"> </w:t>
      </w:r>
      <w:r w:rsidRPr="00197130">
        <w:rPr>
          <w:i/>
        </w:rPr>
        <w:t>Aconitum</w:t>
      </w:r>
      <w:r>
        <w:t xml:space="preserve"> </w:t>
      </w:r>
      <w:r w:rsidR="00C535D2">
        <w:t>spp.,</w:t>
      </w:r>
      <w:r>
        <w:t xml:space="preserve"> </w:t>
      </w:r>
      <w:r w:rsidRPr="00197130">
        <w:rPr>
          <w:i/>
        </w:rPr>
        <w:t>Balsamorhiza sagitatta</w:t>
      </w:r>
      <w:r w:rsidR="00C535D2">
        <w:t>,</w:t>
      </w:r>
      <w:r>
        <w:t xml:space="preserve"> and </w:t>
      </w:r>
      <w:r w:rsidRPr="00197130">
        <w:rPr>
          <w:i/>
        </w:rPr>
        <w:t>Wyethia</w:t>
      </w:r>
      <w:r>
        <w:t xml:space="preserve"> spp. Burrowing mammals can increase </w:t>
      </w:r>
      <w:r w:rsidR="005172A6">
        <w:t>forb</w:t>
      </w:r>
      <w:r>
        <w:t xml:space="preserve"> density.</w:t>
      </w:r>
    </w:p>
    <w:p w:rsidR="00DE7E98" w:rsidP="00DE7E98" w:rsidRDefault="00DE7E98" w14:paraId="5F559B21" w14:textId="77777777">
      <w:pPr>
        <w:pStyle w:val="InfoPara"/>
      </w:pPr>
      <w:r>
        <w:t>BpS Dominant and Indicator Species</w:t>
      </w:r>
    </w:p>
    <w:p>
      <w:r>
        <w:rPr>
          <w:sz w:val="16"/>
        </w:rPr>
        <w:t>Species names are from the NRCS PLANTS database. Check species codes at http://plants.usda.gov.</w:t>
      </w:r>
    </w:p>
    <w:p w:rsidR="00DE7E98" w:rsidP="00DE7E98" w:rsidRDefault="00DE7E98" w14:paraId="054C6BCD" w14:textId="77777777">
      <w:pPr>
        <w:pStyle w:val="InfoPara"/>
      </w:pPr>
      <w:r>
        <w:t>Disturbance Description</w:t>
      </w:r>
    </w:p>
    <w:p w:rsidR="00DE7E98" w:rsidP="00DE7E98" w:rsidRDefault="00DE7E98" w14:paraId="5FD042EE" w14:textId="6071B872">
      <w:r>
        <w:lastRenderedPageBreak/>
        <w:t>Fires are primarily replacement</w:t>
      </w:r>
      <w:r w:rsidR="003A76B8">
        <w:t>. Mixed</w:t>
      </w:r>
      <w:r w:rsidR="00C535D2">
        <w:t>-</w:t>
      </w:r>
      <w:r w:rsidR="003A76B8">
        <w:t xml:space="preserve">severity fire </w:t>
      </w:r>
      <w:r>
        <w:t xml:space="preserve">occurs in </w:t>
      </w:r>
      <w:r w:rsidRPr="00C34D5C">
        <w:t>late</w:t>
      </w:r>
      <w:r w:rsidRPr="00C34D5C" w:rsidR="00C535D2">
        <w:t>-</w:t>
      </w:r>
      <w:r w:rsidRPr="00C34D5C">
        <w:t>development meadows</w:t>
      </w:r>
      <w:r>
        <w:t xml:space="preserve"> and removes shrubs. The ignition source is generally not in this type and </w:t>
      </w:r>
      <w:r w:rsidR="00C535D2">
        <w:t xml:space="preserve">is </w:t>
      </w:r>
      <w:r>
        <w:t xml:space="preserve">probably associated with </w:t>
      </w:r>
      <w:r w:rsidR="00C535D2">
        <w:t>N</w:t>
      </w:r>
      <w:r>
        <w:t xml:space="preserve">ative </w:t>
      </w:r>
      <w:r w:rsidR="00C535D2">
        <w:t>American ignitions</w:t>
      </w:r>
      <w:r>
        <w:t xml:space="preserve"> in the fall and spring, but spreads from adjacent shrub</w:t>
      </w:r>
      <w:r w:rsidR="00C535D2">
        <w:t>-</w:t>
      </w:r>
      <w:r>
        <w:t xml:space="preserve"> or tree</w:t>
      </w:r>
      <w:r w:rsidR="00C535D2">
        <w:t>-</w:t>
      </w:r>
      <w:r>
        <w:t>dominated sites, such as mountain big sagebrush, ponderosa pine</w:t>
      </w:r>
      <w:r w:rsidR="00C535D2">
        <w:t>,</w:t>
      </w:r>
      <w:r>
        <w:t xml:space="preserve"> and aspen.</w:t>
      </w:r>
    </w:p>
    <w:p w:rsidR="004263E9" w:rsidP="00DE7E98" w:rsidRDefault="004263E9" w14:paraId="2DD2E2BA" w14:textId="489A88E2"/>
    <w:p w:rsidR="00DE7E98" w:rsidP="00DE7E98" w:rsidRDefault="00DE7E98" w14:paraId="53A48BC9" w14:textId="781C08B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E7E98" w:rsidP="00DE7E98" w:rsidRDefault="00DE7E98" w14:paraId="2F755762" w14:textId="77777777">
      <w:pPr>
        <w:pStyle w:val="InfoPara"/>
      </w:pPr>
      <w:r>
        <w:t>Scale Description</w:t>
      </w:r>
    </w:p>
    <w:p w:rsidR="00DE7E98" w:rsidP="00DE7E98" w:rsidRDefault="00DE7E98" w14:paraId="43A6092B" w14:textId="5FD374C7">
      <w:r>
        <w:t>Range</w:t>
      </w:r>
      <w:r w:rsidR="00C535D2">
        <w:t>s</w:t>
      </w:r>
      <w:r>
        <w:t xml:space="preserve"> in size from </w:t>
      </w:r>
      <w:r w:rsidR="00C535D2">
        <w:t>&gt;10-</w:t>
      </w:r>
      <w:r>
        <w:t>300ac.</w:t>
      </w:r>
    </w:p>
    <w:p w:rsidR="00DE7E98" w:rsidP="00DE7E98" w:rsidRDefault="00DE7E98" w14:paraId="355F0665" w14:textId="77777777">
      <w:pPr>
        <w:pStyle w:val="InfoPara"/>
      </w:pPr>
      <w:r>
        <w:t>Adjacency or Identification Concerns</w:t>
      </w:r>
    </w:p>
    <w:p w:rsidR="00DE7E98" w:rsidP="00DE7E98" w:rsidRDefault="00DE7E98" w14:paraId="19853001" w14:textId="4E33F033">
      <w:r>
        <w:t xml:space="preserve">This </w:t>
      </w:r>
      <w:r w:rsidR="00C535D2">
        <w:t xml:space="preserve">Biophysical Setting </w:t>
      </w:r>
      <w:r w:rsidR="006B1362">
        <w:t xml:space="preserve">(BpS) </w:t>
      </w:r>
      <w:r>
        <w:t>could be confused with low forb/alpine shrub communities. Often adjacent to aspen/tall forb communities, mountain or big sagebrush/tall forb communities</w:t>
      </w:r>
      <w:r w:rsidR="00C535D2">
        <w:t>,</w:t>
      </w:r>
      <w:r>
        <w:t xml:space="preserve"> and upper montane/sub</w:t>
      </w:r>
      <w:r w:rsidR="00C535D2">
        <w:t>-</w:t>
      </w:r>
      <w:r>
        <w:t>alpine spruce-fir communities. In degraded sites</w:t>
      </w:r>
      <w:r w:rsidR="00C535D2">
        <w:t>,</w:t>
      </w:r>
      <w:r>
        <w:t xml:space="preserve"> this community may convert to silver sagebrush/tall forb.</w:t>
      </w:r>
    </w:p>
    <w:p w:rsidR="00DE7E98" w:rsidP="00DE7E98" w:rsidRDefault="00DE7E98" w14:paraId="258F4BA4" w14:textId="77777777">
      <w:pPr>
        <w:pStyle w:val="InfoPara"/>
      </w:pPr>
      <w:r>
        <w:t>Issues or Problems</w:t>
      </w:r>
    </w:p>
    <w:p w:rsidR="00DE7E98" w:rsidP="00DE7E98" w:rsidRDefault="00DE7E98" w14:paraId="05558BAD" w14:textId="685C1D8B">
      <w:r>
        <w:t>With heavy grazing</w:t>
      </w:r>
      <w:r w:rsidR="00C535D2">
        <w:t>,</w:t>
      </w:r>
      <w:r>
        <w:t xml:space="preserve"> these sites can convert to undesirable forbs and grasses such as </w:t>
      </w:r>
      <w:r w:rsidRPr="00197130">
        <w:rPr>
          <w:i/>
        </w:rPr>
        <w:t>Circium</w:t>
      </w:r>
      <w:r w:rsidR="00C535D2">
        <w:t xml:space="preserve"> spp. </w:t>
      </w:r>
      <w:r>
        <w:t xml:space="preserve">(thistle, any species), </w:t>
      </w:r>
      <w:r w:rsidRPr="00197130">
        <w:rPr>
          <w:i/>
        </w:rPr>
        <w:t>Galium</w:t>
      </w:r>
      <w:r w:rsidR="00C535D2">
        <w:t xml:space="preserve"> spp. </w:t>
      </w:r>
      <w:r>
        <w:t xml:space="preserve">(bedstraw), </w:t>
      </w:r>
      <w:r w:rsidRPr="00197130">
        <w:rPr>
          <w:i/>
        </w:rPr>
        <w:t>Rudbeckia occidentalis</w:t>
      </w:r>
      <w:r>
        <w:t xml:space="preserve"> (coneflower), </w:t>
      </w:r>
      <w:r w:rsidRPr="00197130">
        <w:rPr>
          <w:i/>
        </w:rPr>
        <w:t>Helenium hoopesii</w:t>
      </w:r>
      <w:r>
        <w:t xml:space="preserve"> (</w:t>
      </w:r>
      <w:r w:rsidR="00C535D2">
        <w:t>o</w:t>
      </w:r>
      <w:r>
        <w:t xml:space="preserve">range sneezeweed), </w:t>
      </w:r>
      <w:r w:rsidRPr="00197130">
        <w:rPr>
          <w:i/>
        </w:rPr>
        <w:t>Polygonum</w:t>
      </w:r>
      <w:r>
        <w:t xml:space="preserve"> spp. (knotweed), </w:t>
      </w:r>
      <w:r w:rsidRPr="00197130">
        <w:rPr>
          <w:i/>
        </w:rPr>
        <w:t>Rumex</w:t>
      </w:r>
      <w:r w:rsidR="00C535D2">
        <w:t xml:space="preserve"> spp. </w:t>
      </w:r>
      <w:r>
        <w:t xml:space="preserve">(sorrel or dock), </w:t>
      </w:r>
      <w:r w:rsidRPr="00197130">
        <w:rPr>
          <w:i/>
        </w:rPr>
        <w:t>Taraxacom officinale</w:t>
      </w:r>
      <w:r>
        <w:t xml:space="preserve"> (dandelion), </w:t>
      </w:r>
      <w:r w:rsidRPr="00197130">
        <w:rPr>
          <w:i/>
        </w:rPr>
        <w:t>Wyethia amplexicaulis</w:t>
      </w:r>
      <w:r>
        <w:t xml:space="preserve"> (mule</w:t>
      </w:r>
      <w:r w:rsidR="00C535D2">
        <w:t xml:space="preserve"> </w:t>
      </w:r>
      <w:r>
        <w:t xml:space="preserve">ears), </w:t>
      </w:r>
      <w:r w:rsidRPr="00197130">
        <w:rPr>
          <w:i/>
        </w:rPr>
        <w:t>Madia glomerata</w:t>
      </w:r>
      <w:r>
        <w:t xml:space="preserve"> (mountain tarweed), </w:t>
      </w:r>
      <w:r w:rsidRPr="00197130">
        <w:rPr>
          <w:i/>
        </w:rPr>
        <w:t>Descurainia</w:t>
      </w:r>
      <w:r w:rsidR="00C535D2">
        <w:t xml:space="preserve"> spp. </w:t>
      </w:r>
      <w:r>
        <w:t xml:space="preserve">(tansymustard), </w:t>
      </w:r>
      <w:r w:rsidRPr="00197130">
        <w:rPr>
          <w:i/>
        </w:rPr>
        <w:t>Nemophila brevifolia</w:t>
      </w:r>
      <w:r>
        <w:t xml:space="preserve"> (basin blue eyes), </w:t>
      </w:r>
      <w:r w:rsidRPr="00197130">
        <w:rPr>
          <w:i/>
        </w:rPr>
        <w:t>Poa pratensis</w:t>
      </w:r>
      <w:r>
        <w:t xml:space="preserve"> (Kentucky bluegrass), </w:t>
      </w:r>
      <w:r w:rsidRPr="00197130">
        <w:rPr>
          <w:i/>
        </w:rPr>
        <w:t>Agrostis exarata</w:t>
      </w:r>
      <w:r>
        <w:t xml:space="preserve"> (bentgrass), </w:t>
      </w:r>
      <w:r w:rsidRPr="00197130">
        <w:rPr>
          <w:i/>
        </w:rPr>
        <w:t>Dactylis glomerata</w:t>
      </w:r>
      <w:r>
        <w:t xml:space="preserve"> (orchardgrass), </w:t>
      </w:r>
      <w:r w:rsidRPr="00197130">
        <w:rPr>
          <w:i/>
        </w:rPr>
        <w:t>Bromus inermis</w:t>
      </w:r>
      <w:r>
        <w:t xml:space="preserve"> (smooth brome), </w:t>
      </w:r>
      <w:r w:rsidRPr="00197130">
        <w:rPr>
          <w:i/>
        </w:rPr>
        <w:t>Bromus tectorum</w:t>
      </w:r>
      <w:r>
        <w:t xml:space="preserve"> (cheatgrass), </w:t>
      </w:r>
      <w:r w:rsidRPr="00197130">
        <w:rPr>
          <w:i/>
        </w:rPr>
        <w:t>Poa bulbosa</w:t>
      </w:r>
      <w:r>
        <w:t xml:space="preserve"> (bulbous bluegrass)</w:t>
      </w:r>
      <w:r w:rsidR="00C535D2">
        <w:t>,</w:t>
      </w:r>
      <w:r>
        <w:t xml:space="preserve"> and </w:t>
      </w:r>
      <w:r w:rsidRPr="00197130">
        <w:rPr>
          <w:i/>
        </w:rPr>
        <w:t>Vulpia octoflora</w:t>
      </w:r>
      <w:r>
        <w:t xml:space="preserve"> (six-week fescue). Roads and trails can impact these sites.</w:t>
      </w:r>
    </w:p>
    <w:p w:rsidR="00DE7E98" w:rsidP="00DE7E98" w:rsidRDefault="00DE7E98" w14:paraId="3DDC2F0F" w14:textId="77777777"/>
    <w:p w:rsidR="00DE7E98" w:rsidP="00DE7E98" w:rsidRDefault="00DE7E98" w14:paraId="430629AA" w14:textId="597BA0B9">
      <w:r>
        <w:t xml:space="preserve">There is not much information about this type. We estimated the fire frequency of </w:t>
      </w:r>
      <w:r w:rsidR="005172A6">
        <w:t>40yrs</w:t>
      </w:r>
      <w:r>
        <w:t xml:space="preserve"> based on adjacent aspen </w:t>
      </w:r>
      <w:r w:rsidR="00C535D2">
        <w:t xml:space="preserve">and </w:t>
      </w:r>
      <w:r>
        <w:t>herbaceous and sagebrush communities. Also, because fire was assumed to occur in the fall and spring</w:t>
      </w:r>
      <w:r w:rsidR="00C535D2">
        <w:t>,</w:t>
      </w:r>
      <w:r>
        <w:t xml:space="preserve"> when the summer</w:t>
      </w:r>
      <w:r w:rsidR="00C535D2">
        <w:t>’</w:t>
      </w:r>
      <w:r>
        <w:t xml:space="preserve">s green and wet biomass </w:t>
      </w:r>
      <w:r w:rsidR="00C535D2">
        <w:t xml:space="preserve">was </w:t>
      </w:r>
      <w:r>
        <w:t>dead and cured, replacement fire ha</w:t>
      </w:r>
      <w:r w:rsidR="00C535D2">
        <w:t>d</w:t>
      </w:r>
      <w:r>
        <w:t xml:space="preserve"> little effect on annual tall forbs themselves. Fires would affect encroaching shrubs.</w:t>
      </w:r>
    </w:p>
    <w:p w:rsidR="00DE7E98" w:rsidP="00DE7E98" w:rsidRDefault="00DE7E98" w14:paraId="5E794914" w14:textId="77777777">
      <w:pPr>
        <w:pStyle w:val="InfoPara"/>
      </w:pPr>
      <w:r>
        <w:t>Native Uncharacteristic Conditions</w:t>
      </w:r>
    </w:p>
    <w:p w:rsidR="00DE7E98" w:rsidP="00DE7E98" w:rsidRDefault="00DE7E98" w14:paraId="6DF57ACD" w14:textId="77777777"/>
    <w:p w:rsidR="00DE7E98" w:rsidP="00DE7E98" w:rsidRDefault="00DE7E98" w14:paraId="7D74F1F2" w14:textId="77777777">
      <w:pPr>
        <w:pStyle w:val="InfoPara"/>
      </w:pPr>
      <w:r>
        <w:t>Comments</w:t>
      </w:r>
    </w:p>
    <w:p w:rsidRPr="00CC7229" w:rsidR="00074AB3" w:rsidP="00074AB3" w:rsidRDefault="00074AB3" w14:paraId="32A44E14" w14:textId="1C7A2D5C">
      <w:r>
        <w:t>Kori Blankenship reviewed the use of mixed</w:t>
      </w:r>
      <w:r w:rsidR="006B1362">
        <w:t>-</w:t>
      </w:r>
      <w:r>
        <w:t xml:space="preserve">severity fire in this model during the 2017 BpS </w:t>
      </w:r>
      <w:r w:rsidR="006B1362">
        <w:t>r</w:t>
      </w:r>
      <w:r>
        <w:t xml:space="preserve">eview to determine </w:t>
      </w:r>
      <w:r w:rsidR="006B1362">
        <w:t xml:space="preserve">whether </w:t>
      </w:r>
      <w:r>
        <w:t>its use was consistent with LANDFIRE’s definition of the term. LANDFIRE defines a fire that</w:t>
      </w:r>
      <w:r w:rsidRPr="00415C26">
        <w:t xml:space="preserve"> top</w:t>
      </w:r>
      <w:r w:rsidR="006B1362">
        <w:t>-</w:t>
      </w:r>
      <w:r w:rsidRPr="00415C26">
        <w:t>kill</w:t>
      </w:r>
      <w:r>
        <w:t>s</w:t>
      </w:r>
      <w:r w:rsidRPr="00415C26">
        <w:t xml:space="preserve"> 25</w:t>
      </w:r>
      <w:r w:rsidR="006B1362">
        <w:t>-</w:t>
      </w:r>
      <w:r w:rsidRPr="00415C26">
        <w:t>75% of the upper layer lifeform</w:t>
      </w:r>
      <w:r>
        <w:t xml:space="preserve"> as mixed severity. In this model</w:t>
      </w:r>
      <w:r w:rsidR="006B1362">
        <w:t>,</w:t>
      </w:r>
      <w:r>
        <w:t xml:space="preserve"> mixed fire is used to transition from Late</w:t>
      </w:r>
      <w:r w:rsidR="006B1362">
        <w:t xml:space="preserve"> </w:t>
      </w:r>
      <w:r>
        <w:t>1 Open to Mid</w:t>
      </w:r>
      <w:r w:rsidR="006B1362">
        <w:t xml:space="preserve"> </w:t>
      </w:r>
      <w:r>
        <w:t>1 Open. Although fire would probably kill or top</w:t>
      </w:r>
      <w:r w:rsidR="006B1362">
        <w:t>-</w:t>
      </w:r>
      <w:r>
        <w:t xml:space="preserve">kill the shrubs in this BpS (according to Fire Effects Information </w:t>
      </w:r>
      <w:r>
        <w:lastRenderedPageBreak/>
        <w:t xml:space="preserve">System species reviews), comments </w:t>
      </w:r>
      <w:r w:rsidR="006B1362">
        <w:t xml:space="preserve">about </w:t>
      </w:r>
      <w:r>
        <w:t xml:space="preserve">map zone </w:t>
      </w:r>
      <w:r w:rsidR="006B1362">
        <w:t xml:space="preserve">(MZ) </w:t>
      </w:r>
      <w:r>
        <w:t xml:space="preserve">13 and </w:t>
      </w:r>
      <w:r w:rsidR="006B1362">
        <w:t>MZ</w:t>
      </w:r>
      <w:r>
        <w:t>16 note that fires probably burned in the fall and spring</w:t>
      </w:r>
      <w:r w:rsidR="006B1362">
        <w:t>,</w:t>
      </w:r>
      <w:r>
        <w:t xml:space="preserve"> when the dominant forbs </w:t>
      </w:r>
      <w:r w:rsidR="006B1362">
        <w:t xml:space="preserve">were </w:t>
      </w:r>
      <w:r>
        <w:t>dead and cured</w:t>
      </w:r>
      <w:r w:rsidR="006B1362">
        <w:t>,</w:t>
      </w:r>
      <w:r>
        <w:t xml:space="preserve"> and therefore not </w:t>
      </w:r>
      <w:r w:rsidR="006B1362">
        <w:t>a</w:t>
      </w:r>
      <w:r>
        <w:t xml:space="preserve">ffected by fire. The </w:t>
      </w:r>
      <w:r w:rsidR="006B1362">
        <w:t>MZ0</w:t>
      </w:r>
      <w:r>
        <w:t>9/10/19 model variant also mentions the possible presence of trees in the Late</w:t>
      </w:r>
      <w:r w:rsidR="006B1362">
        <w:t xml:space="preserve"> </w:t>
      </w:r>
      <w:r>
        <w:t xml:space="preserve">1 Open class. In these circumstances, mixed fire seemed to be appropriate, and Blankenship decided to leave the model unchanged. </w:t>
      </w:r>
    </w:p>
    <w:p w:rsidR="00074AB3" w:rsidP="00A909B0" w:rsidRDefault="00074AB3" w14:paraId="2C5C794D" w14:textId="77777777"/>
    <w:p w:rsidR="00A909B0" w:rsidP="00A909B0" w:rsidRDefault="00A909B0" w14:paraId="474E32C7" w14:textId="242B8E4F">
      <w:r>
        <w:t>MZ</w:t>
      </w:r>
      <w:r w:rsidR="006B1362">
        <w:t>0</w:t>
      </w:r>
      <w:r>
        <w:t xml:space="preserve">9, </w:t>
      </w:r>
      <w:r w:rsidR="006B1362">
        <w:t>MZ</w:t>
      </w:r>
      <w:r>
        <w:t>10</w:t>
      </w:r>
      <w:r w:rsidR="006B1362">
        <w:t>,</w:t>
      </w:r>
      <w:r>
        <w:t xml:space="preserve"> and </w:t>
      </w:r>
      <w:r w:rsidR="006B1362">
        <w:t>MZ</w:t>
      </w:r>
      <w:r>
        <w:t>19</w:t>
      </w:r>
      <w:r w:rsidRPr="001B6E75">
        <w:t xml:space="preserve"> were </w:t>
      </w:r>
      <w:r>
        <w:t xml:space="preserve">combined during </w:t>
      </w:r>
      <w:r w:rsidR="00074AB3">
        <w:t>the</w:t>
      </w:r>
      <w:r w:rsidR="0031649F">
        <w:t xml:space="preserve"> </w:t>
      </w:r>
      <w:r>
        <w:t xml:space="preserve">BpS </w:t>
      </w:r>
      <w:r w:rsidR="006B1362">
        <w:t>r</w:t>
      </w:r>
      <w:r>
        <w:t xml:space="preserve">eview. During the </w:t>
      </w:r>
      <w:r w:rsidR="006B1362">
        <w:t>r</w:t>
      </w:r>
      <w:r>
        <w:t>eview</w:t>
      </w:r>
      <w:r w:rsidR="006B1362">
        <w:t>,</w:t>
      </w:r>
      <w:r>
        <w:t xml:space="preserve"> it was noted that MZ22 and </w:t>
      </w:r>
      <w:r w:rsidR="006B1362">
        <w:t>MZ</w:t>
      </w:r>
      <w:r>
        <w:t>28 have the same VDDT model as the combined zones, but due to species and s-class rule differences</w:t>
      </w:r>
      <w:r w:rsidR="006B1362">
        <w:t>,</w:t>
      </w:r>
      <w:r>
        <w:t xml:space="preserve"> MZ22 and </w:t>
      </w:r>
      <w:r w:rsidR="006B1362">
        <w:t>MZ</w:t>
      </w:r>
      <w:r>
        <w:t>28 will be combined and maintained as a unique model.</w:t>
      </w:r>
      <w:r w:rsidR="0031649F">
        <w:t xml:space="preserve"> </w:t>
      </w:r>
    </w:p>
    <w:p w:rsidR="00A909B0" w:rsidP="00DE7E98" w:rsidRDefault="00A909B0" w14:paraId="1DFECCD8" w14:textId="77777777"/>
    <w:p w:rsidR="00DE7E98" w:rsidP="00DE7E98" w:rsidRDefault="00DE7E98" w14:paraId="0A72CB47" w14:textId="35FF33E2">
      <w:r>
        <w:t xml:space="preserve">The model was reviewed for MZ10 and </w:t>
      </w:r>
      <w:r w:rsidR="006B1362">
        <w:t>MZ</w:t>
      </w:r>
      <w:r>
        <w:t xml:space="preserve">19 by Mary Manning (mmanning@fs.fed.us). </w:t>
      </w:r>
    </w:p>
    <w:p w:rsidR="00DE7E98" w:rsidP="00DE7E98" w:rsidRDefault="00DE7E98" w14:paraId="70ED07BB" w14:textId="77777777">
      <w:pPr>
        <w:pStyle w:val="ReportSection"/>
      </w:pPr>
      <w:r>
        <w:t>Succession Classes</w:t>
      </w:r>
    </w:p>
    <w:p w:rsidR="00DE7E98" w:rsidP="00DE7E98" w:rsidRDefault="00DE7E98" w14:paraId="504E7FD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E7E98" w:rsidP="00DE7E98" w:rsidRDefault="00DE7E98" w14:paraId="6E8ABB42"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DE7E98" w:rsidP="00DE7E98" w:rsidRDefault="00DE7E98" w14:paraId="2086D90B" w14:textId="77777777"/>
    <w:p w:rsidR="00DE7E98" w:rsidP="00DE7E98" w:rsidRDefault="00DE7E98" w14:paraId="70413823" w14:textId="77777777">
      <w:pPr>
        <w:pStyle w:val="SClassInfoPara"/>
      </w:pPr>
      <w:r>
        <w:t>Indicator Species</w:t>
      </w:r>
    </w:p>
    <w:p w:rsidR="00DE7E98" w:rsidP="00DE7E98" w:rsidRDefault="00DE7E98" w14:paraId="65DCC1F3" w14:textId="77777777"/>
    <w:p w:rsidR="00DE7E98" w:rsidP="00DE7E98" w:rsidRDefault="00DE7E98" w14:paraId="61097EDC" w14:textId="77777777">
      <w:pPr>
        <w:pStyle w:val="SClassInfoPara"/>
      </w:pPr>
      <w:r>
        <w:t>Description</w:t>
      </w:r>
    </w:p>
    <w:p w:rsidR="00DE7E98" w:rsidP="00DE7E98" w:rsidRDefault="00DE7E98" w14:paraId="4454BA3A" w14:textId="7EECF07A">
      <w:r>
        <w:t xml:space="preserve">Vegetation is typically forb-rich, with forbs contributing more to overall herbaceous cover than graminoids. </w:t>
      </w:r>
      <w:r w:rsidR="003A76B8">
        <w:t xml:space="preserve">Replacement fire </w:t>
      </w:r>
      <w:r>
        <w:t>presumably occurred during the fall and spring, therefore removing dead biomass</w:t>
      </w:r>
      <w:r w:rsidR="006B1362">
        <w:t xml:space="preserve"> completely.</w:t>
      </w:r>
      <w:r>
        <w:t xml:space="preserve"> </w:t>
      </w:r>
      <w:r w:rsidR="006B1362">
        <w:t>B</w:t>
      </w:r>
      <w:r>
        <w:t xml:space="preserve">ut, in </w:t>
      </w:r>
      <w:r w:rsidRPr="00020216">
        <w:t>these early</w:t>
      </w:r>
      <w:r w:rsidRPr="00020216" w:rsidR="006B1362">
        <w:t>-</w:t>
      </w:r>
      <w:r w:rsidRPr="00020216">
        <w:t>development meadows</w:t>
      </w:r>
      <w:r>
        <w:t>, fire would not cause an ecological setback (i</w:t>
      </w:r>
      <w:r w:rsidR="006B1362">
        <w:t>.</w:t>
      </w:r>
      <w:r>
        <w:t>e</w:t>
      </w:r>
      <w:r w:rsidR="006B1362">
        <w:t>.</w:t>
      </w:r>
      <w:r>
        <w:t>, relative age = 0)</w:t>
      </w:r>
      <w:r w:rsidR="006B1362">
        <w:t>,</w:t>
      </w:r>
      <w:r>
        <w:t xml:space="preserve"> because fire would simply remove dead annual forbs.</w:t>
      </w:r>
    </w:p>
    <w:p w:rsidR="00DE7E98" w:rsidP="00DE7E98" w:rsidRDefault="00DE7E98" w14:paraId="01792A07" w14:textId="77777777"/>
    <w:p>
      <w:r>
        <w:rPr>
          <w:i/>
          <w:u w:val="single"/>
        </w:rPr>
        <w:t>Maximum Tree Size Class</w:t>
      </w:r>
      <w:br/>
      <w:r>
        <w:t>None</w:t>
      </w:r>
    </w:p>
    <w:p w:rsidR="00DE7E98" w:rsidP="00DE7E98" w:rsidRDefault="00DE7E98" w14:paraId="204DF1B0" w14:textId="1C47B780">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DE7E98" w:rsidP="00DE7E98" w:rsidRDefault="00DE7E98" w14:paraId="5004E73D" w14:textId="77777777"/>
    <w:p w:rsidR="00DE7E98" w:rsidP="00DE7E98" w:rsidRDefault="00DE7E98" w14:paraId="6727E780" w14:textId="77777777">
      <w:pPr>
        <w:pStyle w:val="SClassInfoPara"/>
      </w:pPr>
      <w:r>
        <w:t>Indicator Species</w:t>
      </w:r>
    </w:p>
    <w:p w:rsidR="00DE7E98" w:rsidP="00DE7E98" w:rsidRDefault="00DE7E98" w14:paraId="1C552503" w14:textId="77777777"/>
    <w:p w:rsidR="00DE7E98" w:rsidP="00DE7E98" w:rsidRDefault="00DE7E98" w14:paraId="0979AC06" w14:textId="77777777">
      <w:pPr>
        <w:pStyle w:val="SClassInfoPara"/>
      </w:pPr>
      <w:r>
        <w:t>Description</w:t>
      </w:r>
    </w:p>
    <w:p w:rsidR="00DE7E98" w:rsidP="00DE7E98" w:rsidRDefault="00DE7E98" w14:paraId="1BC9240B" w14:textId="6B693ABE">
      <w:r>
        <w:lastRenderedPageBreak/>
        <w:t xml:space="preserve">Vegetation is typically forb-rich, with forbs contributing more to overall herbaceous cover than graminoids. Some increase in shrub component, </w:t>
      </w:r>
      <w:r w:rsidR="006B1362">
        <w:t xml:space="preserve">with young </w:t>
      </w:r>
      <w:r>
        <w:t xml:space="preserve">shrubs </w:t>
      </w:r>
      <w:r w:rsidR="006B1362">
        <w:t xml:space="preserve">providing &lt;5% </w:t>
      </w:r>
      <w:r>
        <w:t>cover. R</w:t>
      </w:r>
      <w:r w:rsidR="003A76B8">
        <w:t>eplacement fire removes shrubs</w:t>
      </w:r>
      <w:r>
        <w:t>.</w:t>
      </w:r>
    </w:p>
    <w:p w:rsidR="00DE7E98" w:rsidP="00DE7E98" w:rsidRDefault="00DE7E98" w14:paraId="0E7886E0" w14:textId="77777777"/>
    <w:p>
      <w:r>
        <w:rPr>
          <w:i/>
          <w:u w:val="single"/>
        </w:rPr>
        <w:t>Maximum Tree Size Class</w:t>
      </w:r>
      <w:br/>
      <w:r>
        <w:t>None</w:t>
      </w:r>
    </w:p>
    <w:p w:rsidR="00DE7E98" w:rsidP="00DE7E98" w:rsidRDefault="00DE7E98" w14:paraId="40DB00CA" w14:textId="06575DBB">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DE7E98" w:rsidP="00DE7E98" w:rsidRDefault="00DE7E98" w14:paraId="7F3AB61F" w14:textId="77777777"/>
    <w:p w:rsidR="00DE7E98" w:rsidP="00DE7E98" w:rsidRDefault="00DE7E98" w14:paraId="0A69C0EC" w14:textId="77777777">
      <w:pPr>
        <w:pStyle w:val="SClassInfoPara"/>
      </w:pPr>
      <w:r>
        <w:t>Indicator Species</w:t>
      </w:r>
    </w:p>
    <w:p w:rsidR="00DE7E98" w:rsidP="00DE7E98" w:rsidRDefault="00DE7E98" w14:paraId="6D6EC332" w14:textId="77777777"/>
    <w:p w:rsidR="00DE7E98" w:rsidP="00DE7E98" w:rsidRDefault="00DE7E98" w14:paraId="4D43378B" w14:textId="77777777">
      <w:pPr>
        <w:pStyle w:val="SClassInfoPara"/>
      </w:pPr>
      <w:r>
        <w:t>Description</w:t>
      </w:r>
    </w:p>
    <w:p w:rsidR="00DE7E98" w:rsidP="00DE7E98" w:rsidRDefault="00DE7E98" w14:paraId="26B6BC5E" w14:textId="12C649C6">
      <w:r>
        <w:t xml:space="preserve">Vegetation is typically forb-rich, with forbs contributing more to overall herbaceous cover than graminoids. Five </w:t>
      </w:r>
      <w:r w:rsidR="006B1362">
        <w:t xml:space="preserve">percent </w:t>
      </w:r>
      <w:r>
        <w:t xml:space="preserve">to 10% of cover in late seral may be woody species from adjacent plant communities such as </w:t>
      </w:r>
      <w:r w:rsidRPr="00197130">
        <w:rPr>
          <w:i/>
        </w:rPr>
        <w:t>Populus tremuloides</w:t>
      </w:r>
      <w:r w:rsidR="006B1362">
        <w:t>,</w:t>
      </w:r>
      <w:r w:rsidRPr="00197130">
        <w:rPr>
          <w:i/>
        </w:rPr>
        <w:t xml:space="preserve"> Artemisia cana</w:t>
      </w:r>
      <w:r w:rsidR="006B1362">
        <w:t>,</w:t>
      </w:r>
      <w:r w:rsidRPr="00197130">
        <w:rPr>
          <w:i/>
        </w:rPr>
        <w:t xml:space="preserve"> Artemisia tridentata</w:t>
      </w:r>
      <w:r w:rsidR="006B1362">
        <w:t>,</w:t>
      </w:r>
      <w:r w:rsidRPr="00197130">
        <w:rPr>
          <w:i/>
        </w:rPr>
        <w:t xml:space="preserve"> Rosa woodsii</w:t>
      </w:r>
      <w:r w:rsidR="006B1362">
        <w:t>,</w:t>
      </w:r>
      <w:r w:rsidRPr="00197130">
        <w:rPr>
          <w:i/>
        </w:rPr>
        <w:t xml:space="preserve"> Ribes</w:t>
      </w:r>
      <w:r w:rsidRPr="00197130" w:rsidR="00C535D2">
        <w:rPr>
          <w:i/>
        </w:rPr>
        <w:t xml:space="preserve"> </w:t>
      </w:r>
      <w:r w:rsidR="00C535D2">
        <w:t>spp.</w:t>
      </w:r>
      <w:r w:rsidR="006B1362">
        <w:t>,</w:t>
      </w:r>
      <w:r w:rsidR="00C535D2">
        <w:t xml:space="preserve"> </w:t>
      </w:r>
      <w:r>
        <w:t xml:space="preserve">and </w:t>
      </w:r>
      <w:r w:rsidRPr="00197130">
        <w:rPr>
          <w:i/>
        </w:rPr>
        <w:t>Amelan</w:t>
      </w:r>
      <w:r w:rsidRPr="00197130" w:rsidR="003A76B8">
        <w:rPr>
          <w:i/>
        </w:rPr>
        <w:t>chier</w:t>
      </w:r>
      <w:r w:rsidR="003A76B8">
        <w:t xml:space="preserve"> spp. Mixed</w:t>
      </w:r>
      <w:r w:rsidR="006B1362">
        <w:t>-</w:t>
      </w:r>
      <w:r w:rsidR="003A76B8">
        <w:t xml:space="preserve">severity fire </w:t>
      </w:r>
      <w:r>
        <w:t>removes shrubs fr</w:t>
      </w:r>
      <w:r w:rsidR="003A76B8">
        <w:t xml:space="preserve">om overstory. </w:t>
      </w:r>
    </w:p>
    <w:p w:rsidR="00DE7E98" w:rsidP="00DE7E98" w:rsidRDefault="00DE7E98" w14:paraId="4B653911" w14:textId="77777777"/>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E7E98" w:rsidP="00DE7E98" w:rsidRDefault="00DE7E98" w14:paraId="2BA34DC9" w14:textId="77777777">
      <w:r>
        <w:t xml:space="preserve">Barrett, S.W. 1984. Fire history of the River of No Return Wilderness: River Breaks Zone. Final Report. Missoula, MT: Systems for Environmental Management. 40 pp. + appendices. </w:t>
      </w:r>
    </w:p>
    <w:p w:rsidR="00DE7E98" w:rsidP="00DE7E98" w:rsidRDefault="00DE7E98" w14:paraId="32EBD7A3" w14:textId="77777777"/>
    <w:p w:rsidR="00DE7E98" w:rsidP="00DE7E98" w:rsidRDefault="00DE7E98" w14:paraId="1CBC43DC" w14:textId="77777777">
      <w:r>
        <w:t>Fischer, W.C. and A.F. Bradley. 1987. Fire ecology of western Montana forest habitat types. Gen. Tech. Rep. INT-223. Ogden, UT: USDA Forest Service, Intermountain Research Station. 95 pp.</w:t>
      </w:r>
    </w:p>
    <w:p w:rsidR="00DE7E98" w:rsidP="00DE7E98" w:rsidRDefault="00DE7E98" w14:paraId="7D8418DF" w14:textId="77777777"/>
    <w:p w:rsidR="00DE7E98" w:rsidP="00DE7E98" w:rsidRDefault="00DE7E98" w14:paraId="4FBB2DEE" w14:textId="77777777">
      <w:r>
        <w:t>Gregory, S. 1983. Subalpine forb community types of the Bridger-Teton National Forest, Wyoming. Final Report. USDA Forest Service Cooperative Education Agreement: Contract OM 40-8555-3-115. Ogden, UT: USDA Forest Service, Intermountain Region. 100 pp.</w:t>
      </w:r>
    </w:p>
    <w:p w:rsidR="00DE7E98" w:rsidP="00DE7E98" w:rsidRDefault="00DE7E98" w14:paraId="5ADDD428" w14:textId="77777777"/>
    <w:p w:rsidR="00DE7E98" w:rsidP="00DE7E98" w:rsidRDefault="00DE7E98" w14:paraId="0B20F46D" w14:textId="77777777">
      <w:r>
        <w:t xml:space="preserve">Lackschewitz, K. 1991. Vascular plants of west-central Montana--identification guidebook. Gen. Tech. Rep. INT-227. Ogden, UT: USDA Forest Service, Intermountain Research Station. 648 pp. </w:t>
      </w:r>
    </w:p>
    <w:p w:rsidR="00DE7E98" w:rsidP="00DE7E98" w:rsidRDefault="00DE7E98" w14:paraId="0A4DB0AC" w14:textId="77777777"/>
    <w:p w:rsidR="00DE7E98" w:rsidP="00DE7E98" w:rsidRDefault="00DE7E98" w14:paraId="617F7D5D" w14:textId="738EDCB0">
      <w:r>
        <w:t xml:space="preserve">Lotan, J.E., M.E. Alexander, S.F. Arno [and others]. 1981. Effects of fire on flora: A state of-knowledge review. National fire effects workshop; 1978 April 10-14; Denver, CO. Gen. Tech. Rep. WO-16. Washington, DC: USDA Forest Service. 71 pp. </w:t>
      </w:r>
    </w:p>
    <w:p w:rsidR="00DE7E98" w:rsidP="00DE7E98" w:rsidRDefault="00DE7E98" w14:paraId="72F9528A" w14:textId="77777777"/>
    <w:p w:rsidR="00DE7E98" w:rsidP="00DE7E98" w:rsidRDefault="00DE7E98" w14:paraId="61E07EB4" w14:textId="6CABED2B">
      <w:r>
        <w:t xml:space="preserve">NatureServe. 2005. NatureServe Explorer: An online encyclopedia of life [web application]. Version 4.4. NatureServe, Arlington, Virginia. Available http://www.natureserve.org/explorer. (Accessed: May 6, 2005). </w:t>
      </w:r>
    </w:p>
    <w:p w:rsidR="00DE7E98" w:rsidP="00DE7E98" w:rsidRDefault="00DE7E98" w14:paraId="7C69A1EB" w14:textId="77777777"/>
    <w:p w:rsidR="00DE7E98" w:rsidP="00DE7E98" w:rsidRDefault="00DE7E98" w14:paraId="7B75AF1A" w14:textId="77777777">
      <w:r>
        <w:t>NatureServe. 2007. International Ecological Classification Standard: Terrestrial Ecological Classifications. NatureServe Central Databases. Arlington, VA. Data current as of 10 February 2007.</w:t>
      </w:r>
    </w:p>
    <w:p w:rsidR="00DE7E98" w:rsidP="00DE7E98" w:rsidRDefault="00DE7E98" w14:paraId="6CCB6683" w14:textId="77777777"/>
    <w:p w:rsidR="00DE7E98" w:rsidP="00DE7E98" w:rsidRDefault="00DE7E98" w14:paraId="5228A959" w14:textId="608FF0DE">
      <w:r>
        <w:t>Young, R.P. 1986. Fire ecology and management in plant communities of Malheur National Wildlife Refuge. Portland, OR: Oregon State University. Thesis</w:t>
      </w:r>
      <w:r w:rsidR="005172A6">
        <w:t xml:space="preserve"> 169 pp</w:t>
      </w:r>
      <w:r>
        <w:t>.</w:t>
      </w:r>
    </w:p>
    <w:p w:rsidRPr="00A43E41" w:rsidR="004D5F12" w:rsidP="00DE7E98" w:rsidRDefault="004D5F12" w14:paraId="7CF59B9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E5C9" w14:textId="77777777" w:rsidR="00C47408" w:rsidRDefault="00C47408">
      <w:r>
        <w:separator/>
      </w:r>
    </w:p>
  </w:endnote>
  <w:endnote w:type="continuationSeparator" w:id="0">
    <w:p w14:paraId="54D3E888" w14:textId="77777777" w:rsidR="00C47408" w:rsidRDefault="00C47408">
      <w:r>
        <w:continuationSeparator/>
      </w:r>
    </w:p>
  </w:endnote>
  <w:endnote w:type="continuationNotice" w:id="1">
    <w:p w14:paraId="0A3A9210" w14:textId="77777777" w:rsidR="00C47408" w:rsidRDefault="00C4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054D" w14:textId="77777777" w:rsidR="00DE7E98" w:rsidRDefault="00DE7E98" w:rsidP="00DE7E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69E6" w14:textId="77777777" w:rsidR="00C47408" w:rsidRDefault="00C47408">
      <w:r>
        <w:separator/>
      </w:r>
    </w:p>
  </w:footnote>
  <w:footnote w:type="continuationSeparator" w:id="0">
    <w:p w14:paraId="4918AD01" w14:textId="77777777" w:rsidR="00C47408" w:rsidRDefault="00C47408">
      <w:r>
        <w:continuationSeparator/>
      </w:r>
    </w:p>
  </w:footnote>
  <w:footnote w:type="continuationNotice" w:id="1">
    <w:p w14:paraId="0C92E9CE" w14:textId="77777777" w:rsidR="00C47408" w:rsidRDefault="00C47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3BB04" w14:textId="77777777" w:rsidR="00A43E41" w:rsidRDefault="00A43E41" w:rsidP="00DE7E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481F"/>
    <w:pPr>
      <w:ind w:left="720"/>
    </w:pPr>
    <w:rPr>
      <w:rFonts w:ascii="Calibri" w:eastAsiaTheme="minorHAnsi" w:hAnsi="Calibri"/>
      <w:sz w:val="22"/>
      <w:szCs w:val="22"/>
    </w:rPr>
  </w:style>
  <w:style w:type="character" w:styleId="Hyperlink">
    <w:name w:val="Hyperlink"/>
    <w:basedOn w:val="DefaultParagraphFont"/>
    <w:rsid w:val="0085481F"/>
    <w:rPr>
      <w:color w:val="0000FF" w:themeColor="hyperlink"/>
      <w:u w:val="single"/>
    </w:rPr>
  </w:style>
  <w:style w:type="paragraph" w:styleId="BalloonText">
    <w:name w:val="Balloon Text"/>
    <w:basedOn w:val="Normal"/>
    <w:link w:val="BalloonTextChar"/>
    <w:uiPriority w:val="99"/>
    <w:semiHidden/>
    <w:unhideWhenUsed/>
    <w:rsid w:val="0085481F"/>
    <w:rPr>
      <w:rFonts w:ascii="Tahoma" w:hAnsi="Tahoma" w:cs="Tahoma"/>
      <w:sz w:val="16"/>
      <w:szCs w:val="16"/>
    </w:rPr>
  </w:style>
  <w:style w:type="character" w:customStyle="1" w:styleId="BalloonTextChar">
    <w:name w:val="Balloon Text Char"/>
    <w:basedOn w:val="DefaultParagraphFont"/>
    <w:link w:val="BalloonText"/>
    <w:uiPriority w:val="99"/>
    <w:semiHidden/>
    <w:rsid w:val="0085481F"/>
    <w:rPr>
      <w:rFonts w:ascii="Tahoma" w:hAnsi="Tahoma" w:cs="Tahoma"/>
      <w:sz w:val="16"/>
      <w:szCs w:val="16"/>
    </w:rPr>
  </w:style>
  <w:style w:type="character" w:styleId="CommentReference">
    <w:name w:val="annotation reference"/>
    <w:basedOn w:val="DefaultParagraphFont"/>
    <w:uiPriority w:val="99"/>
    <w:semiHidden/>
    <w:unhideWhenUsed/>
    <w:rsid w:val="00C34D5C"/>
    <w:rPr>
      <w:sz w:val="16"/>
      <w:szCs w:val="16"/>
    </w:rPr>
  </w:style>
  <w:style w:type="paragraph" w:styleId="CommentText">
    <w:name w:val="annotation text"/>
    <w:basedOn w:val="Normal"/>
    <w:link w:val="CommentTextChar"/>
    <w:uiPriority w:val="99"/>
    <w:semiHidden/>
    <w:unhideWhenUsed/>
    <w:rsid w:val="00C34D5C"/>
    <w:rPr>
      <w:sz w:val="20"/>
      <w:szCs w:val="20"/>
    </w:rPr>
  </w:style>
  <w:style w:type="character" w:customStyle="1" w:styleId="CommentTextChar">
    <w:name w:val="Comment Text Char"/>
    <w:basedOn w:val="DefaultParagraphFont"/>
    <w:link w:val="CommentText"/>
    <w:uiPriority w:val="99"/>
    <w:semiHidden/>
    <w:rsid w:val="00C34D5C"/>
  </w:style>
  <w:style w:type="paragraph" w:styleId="CommentSubject">
    <w:name w:val="annotation subject"/>
    <w:basedOn w:val="CommentText"/>
    <w:next w:val="CommentText"/>
    <w:link w:val="CommentSubjectChar"/>
    <w:uiPriority w:val="99"/>
    <w:semiHidden/>
    <w:unhideWhenUsed/>
    <w:rsid w:val="00C34D5C"/>
    <w:rPr>
      <w:b/>
      <w:bCs/>
    </w:rPr>
  </w:style>
  <w:style w:type="character" w:customStyle="1" w:styleId="CommentSubjectChar">
    <w:name w:val="Comment Subject Char"/>
    <w:basedOn w:val="CommentTextChar"/>
    <w:link w:val="CommentSubject"/>
    <w:uiPriority w:val="99"/>
    <w:semiHidden/>
    <w:rsid w:val="00C34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51415">
      <w:bodyDiv w:val="1"/>
      <w:marLeft w:val="0"/>
      <w:marRight w:val="0"/>
      <w:marTop w:val="0"/>
      <w:marBottom w:val="0"/>
      <w:divBdr>
        <w:top w:val="none" w:sz="0" w:space="0" w:color="auto"/>
        <w:left w:val="none" w:sz="0" w:space="0" w:color="auto"/>
        <w:bottom w:val="none" w:sz="0" w:space="0" w:color="auto"/>
        <w:right w:val="none" w:sz="0" w:space="0" w:color="auto"/>
      </w:divBdr>
    </w:div>
    <w:div w:id="16006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2014-08-21T14:07:00Z</cp:lastPrinted>
  <dcterms:created xsi:type="dcterms:W3CDTF">2017-08-18T18:47:00Z</dcterms:created>
  <dcterms:modified xsi:type="dcterms:W3CDTF">2025-02-12T09:41:32Z</dcterms:modified>
</cp:coreProperties>
</file>