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FBF" w:rsidP="009B0FBF" w:rsidRDefault="009B0FBF">
      <w:pPr>
        <w:pStyle w:val="BpSTitle"/>
      </w:pPr>
      <w:bookmarkStart w:name="_GoBack" w:id="0"/>
      <w:bookmarkEnd w:id="0"/>
      <w:r>
        <w:t>13140</w:t>
      </w:r>
    </w:p>
    <w:p w:rsidR="009B0FBF" w:rsidP="009B0FBF" w:rsidRDefault="009B0FBF">
      <w:pPr>
        <w:pStyle w:val="BpSTitle"/>
      </w:pPr>
      <w:r>
        <w:t>North-Central Interior Maple-Basswood Forest</w:t>
      </w:r>
    </w:p>
    <w:p w:rsidR="009B0FBF" w:rsidP="009B0FBF" w:rsidRDefault="009B0FBF">
      <w:r>
        <w:t>BpS Model/Description Version: Aug. 2020</w:t>
      </w:r>
      <w:r>
        <w:tab/>
      </w:r>
      <w:r>
        <w:tab/>
      </w:r>
      <w:r>
        <w:tab/>
      </w:r>
      <w:r>
        <w:tab/>
      </w:r>
      <w:r>
        <w:tab/>
      </w:r>
      <w:r>
        <w:tab/>
      </w:r>
      <w:r>
        <w:tab/>
      </w:r>
    </w:p>
    <w:p w:rsidR="009B0FBF" w:rsidP="009B0FBF" w:rsidRDefault="009B0FBF"/>
    <w:p w:rsidR="009B0FBF" w:rsidP="009B0FBF" w:rsidRDefault="009B0FBF"/>
    <w:p w:rsidR="009B0FBF" w:rsidP="009B0FBF" w:rsidRDefault="009B0FBF">
      <w:pPr>
        <w:pStyle w:val="InfoPara"/>
      </w:pPr>
      <w:r>
        <w:t>Vegetation Type</w:t>
      </w:r>
    </w:p>
    <w:p w:rsidR="009B0FBF" w:rsidP="009B0FBF" w:rsidRDefault="009B0FBF">
      <w:r>
        <w:t>Forest and Woodland</w:t>
      </w:r>
    </w:p>
    <w:p w:rsidR="009B0FBF" w:rsidP="009B0FBF" w:rsidRDefault="009B0FBF">
      <w:pPr>
        <w:pStyle w:val="InfoPara"/>
      </w:pPr>
      <w:r>
        <w:t>Map Zones</w:t>
      </w:r>
    </w:p>
    <w:p w:rsidR="009B0FBF" w:rsidP="009B0FBF" w:rsidRDefault="009B0FBF">
      <w:r>
        <w:t>49</w:t>
      </w:r>
    </w:p>
    <w:p w:rsidR="009B0FBF" w:rsidP="009B0FBF" w:rsidRDefault="009B0FBF">
      <w:pPr>
        <w:pStyle w:val="InfoPara"/>
      </w:pPr>
      <w:r>
        <w:t>Geographic Range</w:t>
      </w:r>
    </w:p>
    <w:p w:rsidR="009B0FBF" w:rsidP="009B0FBF" w:rsidRDefault="009B0FBF">
      <w:r>
        <w:t>The distribution of this mesic forest type is concentrated in the prairie border states of MN, WI and IA, ranging into northern MN and WI and south to southern IL and eastern KS (NatureServe 2007). In MZ49, this BpS likely occurred throughout IL, but was concentrated in regions where topographic variation favored the development of maple-basswood forest on fire-protected slopes and moraines. The following Ecoregions likely supported BpS 1314: 52 (</w:t>
      </w:r>
      <w:proofErr w:type="spellStart"/>
      <w:r>
        <w:t>Driftless</w:t>
      </w:r>
      <w:proofErr w:type="spellEnd"/>
      <w:r>
        <w:t xml:space="preserve"> Area, including 52a and 52b Level IV Ecoregions), 53 (Southern Wisconsin Till Plains, primarily in 53a), 54 (Central Corn Belt Plains, primarily in 54f and 54g and likely localized in ravines in the other Level IV Ecoregions), and 72 (Interior River Valleys and Hills) (Woods et al. 2006). This system is replaced by BpS 1321 in Ecoregion 71 (Interior Plateau). Although maple-basswood forest may have occurred throughout IL, Braun (1950) maps only the </w:t>
      </w:r>
      <w:proofErr w:type="spellStart"/>
      <w:r>
        <w:t>driftless</w:t>
      </w:r>
      <w:proofErr w:type="spellEnd"/>
      <w:r>
        <w:t xml:space="preserve"> northwestern corner of the state as part of the Maple-Basswood Forest Region, but states that the community is not confined to the region. In WI, this system occupied fire-protected areas in the Southeastern Wisconsin Till Plains Level III Ecoregion (53a and 53b) (Omernik et al. 2000).</w:t>
      </w:r>
    </w:p>
    <w:p w:rsidR="009B0FBF" w:rsidP="009B0FBF" w:rsidRDefault="009B0FBF">
      <w:pPr>
        <w:pStyle w:val="InfoPara"/>
      </w:pPr>
      <w:r>
        <w:t>Biophysical Site Description</w:t>
      </w:r>
    </w:p>
    <w:p w:rsidR="009B0FBF" w:rsidP="009B0FBF" w:rsidRDefault="009B0FBF">
      <w:r>
        <w:t xml:space="preserve">Within MZ49, BpS 1314 occupies moderately well-drained soils on valley slopes and bottoms, primarily with northerly or easterly aspects, where occurrences are protected from fire (NatureServe 2007). Soils are medium to deep loams derived from glacial till or loess. </w:t>
      </w:r>
    </w:p>
    <w:p w:rsidR="009B0FBF" w:rsidP="009B0FBF" w:rsidRDefault="009B0FBF">
      <w:r>
        <w:t xml:space="preserve"> </w:t>
      </w:r>
    </w:p>
    <w:p w:rsidR="009B0FBF" w:rsidP="009B0FBF" w:rsidRDefault="009B0FBF">
      <w:r>
        <w:t>Plants in these communities have access to predictable supplies of water and nutrients, but they are often limited by light because of the dense forest canopy. Typical sites are buffered from seasonal drought by fine-textured moisture-retaining soils or dense subsoil layers. Essential nutrients are mineralized from decaying organic matter at twice the rate of that in fire-dependent forest or wet forest communities.</w:t>
      </w:r>
    </w:p>
    <w:p w:rsidR="009B0FBF" w:rsidP="009B0FBF" w:rsidRDefault="009B0FBF">
      <w:pPr>
        <w:pStyle w:val="InfoPara"/>
      </w:pPr>
      <w:r>
        <w:t>Vegetation Description</w:t>
      </w:r>
    </w:p>
    <w:p w:rsidR="009B0FBF" w:rsidP="009B0FBF" w:rsidRDefault="009B0FBF">
      <w:r>
        <w:t xml:space="preserve">Sites are characterized by continuous, often dense, canopies of deciduous trees and understories of shade-adapted shrubs and herbs. Dominant trees species in the canopy and </w:t>
      </w:r>
      <w:proofErr w:type="spellStart"/>
      <w:r>
        <w:t>subcanopy</w:t>
      </w:r>
      <w:proofErr w:type="spellEnd"/>
      <w:r>
        <w:t xml:space="preserve"> typically include sugar maple (Acer </w:t>
      </w:r>
      <w:proofErr w:type="spellStart"/>
      <w:r>
        <w:t>saccharum</w:t>
      </w:r>
      <w:proofErr w:type="spellEnd"/>
      <w:r>
        <w:t>), basswood (</w:t>
      </w:r>
      <w:proofErr w:type="spellStart"/>
      <w:r>
        <w:t>Tilia</w:t>
      </w:r>
      <w:proofErr w:type="spellEnd"/>
      <w:r>
        <w:t xml:space="preserve"> </w:t>
      </w:r>
      <w:proofErr w:type="spellStart"/>
      <w:r>
        <w:t>americana</w:t>
      </w:r>
      <w:proofErr w:type="spellEnd"/>
      <w:r>
        <w:t>), slippery elm (</w:t>
      </w:r>
      <w:proofErr w:type="spellStart"/>
      <w:r>
        <w:t>Ulmus</w:t>
      </w:r>
      <w:proofErr w:type="spellEnd"/>
      <w:r>
        <w:t xml:space="preserve"> </w:t>
      </w:r>
      <w:proofErr w:type="spellStart"/>
      <w:r>
        <w:t>rubra</w:t>
      </w:r>
      <w:proofErr w:type="spellEnd"/>
      <w:r>
        <w:t xml:space="preserve">), American elm (U. </w:t>
      </w:r>
      <w:proofErr w:type="spellStart"/>
      <w:r>
        <w:t>americana</w:t>
      </w:r>
      <w:proofErr w:type="spellEnd"/>
      <w:r>
        <w:t xml:space="preserve">), and northern red oak (Quercus </w:t>
      </w:r>
      <w:proofErr w:type="spellStart"/>
      <w:r>
        <w:t>rubra</w:t>
      </w:r>
      <w:proofErr w:type="spellEnd"/>
      <w:r>
        <w:t>). Canopy associates include white oak (Quercus alba), ironwood (</w:t>
      </w:r>
      <w:proofErr w:type="spellStart"/>
      <w:r>
        <w:t>Ostrya</w:t>
      </w:r>
      <w:proofErr w:type="spellEnd"/>
      <w:r>
        <w:t xml:space="preserve"> </w:t>
      </w:r>
      <w:proofErr w:type="spellStart"/>
      <w:r>
        <w:t>virginiana</w:t>
      </w:r>
      <w:proofErr w:type="spellEnd"/>
      <w:r>
        <w:t xml:space="preserve">), muscle wood </w:t>
      </w:r>
      <w:r>
        <w:lastRenderedPageBreak/>
        <w:t>(</w:t>
      </w:r>
      <w:proofErr w:type="spellStart"/>
      <w:r>
        <w:t>Carpinus</w:t>
      </w:r>
      <w:proofErr w:type="spellEnd"/>
      <w:r>
        <w:t xml:space="preserve"> </w:t>
      </w:r>
      <w:proofErr w:type="spellStart"/>
      <w:r>
        <w:t>caroliniana</w:t>
      </w:r>
      <w:proofErr w:type="spellEnd"/>
      <w:r>
        <w:t>), bitternut hickory (</w:t>
      </w:r>
      <w:proofErr w:type="spellStart"/>
      <w:r>
        <w:t>Carya</w:t>
      </w:r>
      <w:proofErr w:type="spellEnd"/>
      <w:r>
        <w:t xml:space="preserve"> </w:t>
      </w:r>
      <w:proofErr w:type="spellStart"/>
      <w:r>
        <w:t>cordiformis</w:t>
      </w:r>
      <w:proofErr w:type="spellEnd"/>
      <w:r>
        <w:t xml:space="preserve">), shagbark hickory (C. ovata), green ash (Fraxinus </w:t>
      </w:r>
      <w:proofErr w:type="spellStart"/>
      <w:r>
        <w:t>pennsylvanica</w:t>
      </w:r>
      <w:proofErr w:type="spellEnd"/>
      <w:r>
        <w:t xml:space="preserve">), and black walnut (Juglans </w:t>
      </w:r>
      <w:proofErr w:type="spellStart"/>
      <w:r>
        <w:t>nigra</w:t>
      </w:r>
      <w:proofErr w:type="spellEnd"/>
      <w:r>
        <w:t>) (Braun 1950, NatureServe 2007). The scattered shrub layer is characterized by alternate-leaved dogwood (</w:t>
      </w:r>
      <w:proofErr w:type="spellStart"/>
      <w:r>
        <w:t>Cornus</w:t>
      </w:r>
      <w:proofErr w:type="spellEnd"/>
      <w:r>
        <w:t xml:space="preserve"> alternifolia), gooseberries (</w:t>
      </w:r>
      <w:proofErr w:type="spellStart"/>
      <w:r>
        <w:t>Ribes</w:t>
      </w:r>
      <w:proofErr w:type="spellEnd"/>
      <w:r>
        <w:t xml:space="preserve"> spp.), elderberry (</w:t>
      </w:r>
      <w:proofErr w:type="spellStart"/>
      <w:r>
        <w:t>Sambucus</w:t>
      </w:r>
      <w:proofErr w:type="spellEnd"/>
      <w:r>
        <w:t xml:space="preserve"> spp.), and prickly-ash (</w:t>
      </w:r>
      <w:proofErr w:type="spellStart"/>
      <w:r>
        <w:t>Zanthoxylum</w:t>
      </w:r>
      <w:proofErr w:type="spellEnd"/>
      <w:r>
        <w:t xml:space="preserve"> </w:t>
      </w:r>
      <w:proofErr w:type="spellStart"/>
      <w:r>
        <w:t>americanum</w:t>
      </w:r>
      <w:proofErr w:type="spellEnd"/>
      <w:r>
        <w:t>) (NatureServe 2007).</w:t>
      </w:r>
    </w:p>
    <w:p w:rsidR="009B0FBF" w:rsidP="009B0FBF" w:rsidRDefault="009B0FBF">
      <w:r>
        <w:t xml:space="preserve"> </w:t>
      </w:r>
    </w:p>
    <w:p w:rsidR="009B0FBF" w:rsidP="009B0FBF" w:rsidRDefault="009B0FBF">
      <w:r>
        <w:t xml:space="preserve">The ground flora is dominated by spring-flowering herbs, including ephemerals, which complete their life cycle in the spring before the canopy trees have leafed out and cast a dense shade on the understory. Common ground cover species include maidenhair fern (Adiantum </w:t>
      </w:r>
      <w:proofErr w:type="spellStart"/>
      <w:r>
        <w:t>pedatum</w:t>
      </w:r>
      <w:proofErr w:type="spellEnd"/>
      <w:r>
        <w:t>), silvery spleenwort (</w:t>
      </w:r>
      <w:proofErr w:type="spellStart"/>
      <w:r>
        <w:t>Athyrium</w:t>
      </w:r>
      <w:proofErr w:type="spellEnd"/>
      <w:r>
        <w:t xml:space="preserve"> </w:t>
      </w:r>
      <w:proofErr w:type="spellStart"/>
      <w:r>
        <w:t>thelypteroides</w:t>
      </w:r>
      <w:proofErr w:type="spellEnd"/>
      <w:r>
        <w:t>), lady fern (</w:t>
      </w:r>
      <w:proofErr w:type="spellStart"/>
      <w:r>
        <w:t>Athyrium</w:t>
      </w:r>
      <w:proofErr w:type="spellEnd"/>
      <w:r>
        <w:t xml:space="preserve"> </w:t>
      </w:r>
      <w:proofErr w:type="spellStart"/>
      <w:r>
        <w:t>filix-femina</w:t>
      </w:r>
      <w:proofErr w:type="spellEnd"/>
      <w:r>
        <w:t>), interrupted fern (</w:t>
      </w:r>
      <w:proofErr w:type="spellStart"/>
      <w:r>
        <w:t>Osmunda</w:t>
      </w:r>
      <w:proofErr w:type="spellEnd"/>
      <w:r>
        <w:t xml:space="preserve"> </w:t>
      </w:r>
      <w:proofErr w:type="spellStart"/>
      <w:r>
        <w:t>claytoniana</w:t>
      </w:r>
      <w:proofErr w:type="spellEnd"/>
      <w:r>
        <w:t>), rattlesnake-fern (</w:t>
      </w:r>
      <w:proofErr w:type="spellStart"/>
      <w:r>
        <w:t>Botrychium</w:t>
      </w:r>
      <w:proofErr w:type="spellEnd"/>
      <w:r>
        <w:t xml:space="preserve"> </w:t>
      </w:r>
      <w:proofErr w:type="spellStart"/>
      <w:r>
        <w:t>virginianum</w:t>
      </w:r>
      <w:proofErr w:type="spellEnd"/>
      <w:r>
        <w:t>), jack-in-the-pulpit (</w:t>
      </w:r>
      <w:proofErr w:type="spellStart"/>
      <w:r>
        <w:t>Arisaema</w:t>
      </w:r>
      <w:proofErr w:type="spellEnd"/>
      <w:r>
        <w:t xml:space="preserve"> </w:t>
      </w:r>
      <w:proofErr w:type="spellStart"/>
      <w:r>
        <w:t>triphyllum</w:t>
      </w:r>
      <w:proofErr w:type="spellEnd"/>
      <w:r>
        <w:t>), large white trillium (Trillium grandiflorum), yellow bellwort (</w:t>
      </w:r>
      <w:proofErr w:type="spellStart"/>
      <w:r>
        <w:t>Uvularia</w:t>
      </w:r>
      <w:proofErr w:type="spellEnd"/>
      <w:r>
        <w:t xml:space="preserve"> grandiflora), wild ginger (</w:t>
      </w:r>
      <w:proofErr w:type="spellStart"/>
      <w:r>
        <w:t>Asarum</w:t>
      </w:r>
      <w:proofErr w:type="spellEnd"/>
      <w:r>
        <w:t xml:space="preserve"> </w:t>
      </w:r>
      <w:proofErr w:type="spellStart"/>
      <w:r>
        <w:t>canadense</w:t>
      </w:r>
      <w:proofErr w:type="spellEnd"/>
      <w:r>
        <w:t>), rue-anemone (</w:t>
      </w:r>
      <w:proofErr w:type="spellStart"/>
      <w:r>
        <w:t>Anemonella</w:t>
      </w:r>
      <w:proofErr w:type="spellEnd"/>
      <w:r>
        <w:t xml:space="preserve"> </w:t>
      </w:r>
      <w:proofErr w:type="spellStart"/>
      <w:r>
        <w:t>thalictroides</w:t>
      </w:r>
      <w:proofErr w:type="spellEnd"/>
      <w:r>
        <w:t xml:space="preserve">), sharp-lobed hepatica (Hepatica </w:t>
      </w:r>
      <w:proofErr w:type="spellStart"/>
      <w:r>
        <w:t>acutiloba</w:t>
      </w:r>
      <w:proofErr w:type="spellEnd"/>
      <w:r>
        <w:t>), bloodroot (</w:t>
      </w:r>
      <w:proofErr w:type="spellStart"/>
      <w:r>
        <w:t>Sanguinaria</w:t>
      </w:r>
      <w:proofErr w:type="spellEnd"/>
      <w:r>
        <w:t xml:space="preserve"> canadensis), blue cohosh (</w:t>
      </w:r>
      <w:proofErr w:type="spellStart"/>
      <w:r>
        <w:t>Caulophyllum</w:t>
      </w:r>
      <w:proofErr w:type="spellEnd"/>
      <w:r>
        <w:t xml:space="preserve"> </w:t>
      </w:r>
      <w:proofErr w:type="spellStart"/>
      <w:r>
        <w:t>thalictroides</w:t>
      </w:r>
      <w:proofErr w:type="spellEnd"/>
      <w:r>
        <w:t xml:space="preserve">), spikenard (Aralia </w:t>
      </w:r>
      <w:proofErr w:type="spellStart"/>
      <w:r>
        <w:t>racemosa</w:t>
      </w:r>
      <w:proofErr w:type="spellEnd"/>
      <w:r>
        <w:t xml:space="preserve">), wood phlox (Phlox </w:t>
      </w:r>
      <w:proofErr w:type="spellStart"/>
      <w:r>
        <w:t>divaricata</w:t>
      </w:r>
      <w:proofErr w:type="spellEnd"/>
      <w:r>
        <w:t>), lopseed (</w:t>
      </w:r>
      <w:proofErr w:type="spellStart"/>
      <w:r>
        <w:t>Phryma</w:t>
      </w:r>
      <w:proofErr w:type="spellEnd"/>
      <w:r>
        <w:t xml:space="preserve"> </w:t>
      </w:r>
      <w:proofErr w:type="spellStart"/>
      <w:r>
        <w:t>leptostachya</w:t>
      </w:r>
      <w:proofErr w:type="spellEnd"/>
      <w:r>
        <w:t xml:space="preserve">), wood anemone (Anemone quinquefolia), spring beauty (Claytonia </w:t>
      </w:r>
      <w:proofErr w:type="spellStart"/>
      <w:r>
        <w:t>virginiana</w:t>
      </w:r>
      <w:proofErr w:type="spellEnd"/>
      <w:r>
        <w:t xml:space="preserve">), Dutchman’s-breeches (Dicentra </w:t>
      </w:r>
      <w:proofErr w:type="spellStart"/>
      <w:r>
        <w:t>cucullaria</w:t>
      </w:r>
      <w:proofErr w:type="spellEnd"/>
      <w:r>
        <w:t>), hairy Solomon’s seal (</w:t>
      </w:r>
      <w:proofErr w:type="spellStart"/>
      <w:r>
        <w:t>Polygonatum</w:t>
      </w:r>
      <w:proofErr w:type="spellEnd"/>
      <w:r>
        <w:t xml:space="preserve"> </w:t>
      </w:r>
      <w:proofErr w:type="spellStart"/>
      <w:r>
        <w:t>pubescens</w:t>
      </w:r>
      <w:proofErr w:type="spellEnd"/>
      <w:r>
        <w:t>), black snakeroot (</w:t>
      </w:r>
      <w:proofErr w:type="spellStart"/>
      <w:r>
        <w:t>Sanicula</w:t>
      </w:r>
      <w:proofErr w:type="spellEnd"/>
      <w:r>
        <w:t xml:space="preserve"> </w:t>
      </w:r>
      <w:proofErr w:type="spellStart"/>
      <w:r>
        <w:t>gregaria</w:t>
      </w:r>
      <w:proofErr w:type="spellEnd"/>
      <w:r>
        <w:t xml:space="preserve">), and white snakeroot (Eupatorium </w:t>
      </w:r>
      <w:proofErr w:type="spellStart"/>
      <w:r>
        <w:t>rugosum</w:t>
      </w:r>
      <w:proofErr w:type="spellEnd"/>
      <w:r>
        <w:t>) (Braun 1950, NatureServe 2007).</w:t>
      </w:r>
    </w:p>
    <w:p w:rsidR="009B0FBF" w:rsidP="009B0FBF" w:rsidRDefault="009B0FBF">
      <w:pPr>
        <w:pStyle w:val="InfoPara"/>
      </w:pPr>
      <w:r>
        <w:t>BpS Dominant and Indicator Species</w:t>
      </w:r>
    </w:p>
    <w:p>
      <w:r>
        <w:rPr>
          <w:sz w:val="16"/>
        </w:rPr>
        <w:t>Species names are from the NRCS PLANTS database. Check species codes at http://plants.usda.gov.</w:t>
      </w:r>
    </w:p>
    <w:p w:rsidR="009B0FBF" w:rsidP="009B0FBF" w:rsidRDefault="009B0FBF">
      <w:pPr>
        <w:pStyle w:val="InfoPara"/>
      </w:pPr>
      <w:r>
        <w:t>Disturbance Description</w:t>
      </w:r>
    </w:p>
    <w:p w:rsidR="009B0FBF" w:rsidP="009B0FBF" w:rsidRDefault="009B0FBF">
      <w:r>
        <w:t>Fire Regime V characterizes this system, dominated by high-intensity, low-frequency fires that occur in greater than 1000yr intervals. Low-intensity surface fires may have been more frequent in the mid-seral stages of this BpS when more fire-prone species (such as oak) comprise a larger component of the tree canopy. Light surface fires would result in the partial loss of trees.</w:t>
      </w:r>
    </w:p>
    <w:p w:rsidR="009B0FBF" w:rsidP="009B0FBF" w:rsidRDefault="009B0FBF"/>
    <w:p w:rsidR="009B0FBF" w:rsidP="009B0FBF" w:rsidRDefault="009B0FBF">
      <w:r>
        <w:t xml:space="preserve">Historically, this forest type, composed of fire-sensitive species, was not disturbed by fire except during periods following catastrophic wind events or extreme drought. Grimm (1984) states “The fire regimes of deciduous forests, such as </w:t>
      </w:r>
      <w:proofErr w:type="spellStart"/>
      <w:r>
        <w:t>bigwoods</w:t>
      </w:r>
      <w:proofErr w:type="spellEnd"/>
      <w:r>
        <w:t xml:space="preserve">, are much different from the commonly perceived model of fire regime, in which fuels and fire danger increase with time and in which intense crown fires cause great destruction of the forest.” In maple-basswood forests, decomposition of potential fuels is rapid, and is particularly rapid on base-rich soils (Bormann and Likens 1979). Because of the dense shade, the cover of herbs and shrubs is sparse. </w:t>
      </w:r>
      <w:proofErr w:type="gramStart"/>
      <w:r>
        <w:t>Thus</w:t>
      </w:r>
      <w:proofErr w:type="gramEnd"/>
      <w:r>
        <w:t xml:space="preserve"> little fuel exists at the ground level, tree trunks are not very flammable, and the open tree crowns do not carry fire very well. Moreover, low solar radiation, high humidity, and low wind speeds prolong the moisture retention of ground-level fuels (Kucera 1952), thereby inhibiting the ignition and spread of fire. These forests are sometimes referred to as the “asbestos forests” because of their fireproof character (</w:t>
      </w:r>
      <w:proofErr w:type="spellStart"/>
      <w:r>
        <w:t>Vogl</w:t>
      </w:r>
      <w:proofErr w:type="spellEnd"/>
      <w:r>
        <w:t xml:space="preserve"> 1967). Ordinarily, only the leaf litter ever reaches a flammable state, and only patchy creeping ground fires occur (</w:t>
      </w:r>
      <w:proofErr w:type="spellStart"/>
      <w:r>
        <w:t>Niering</w:t>
      </w:r>
      <w:proofErr w:type="spellEnd"/>
      <w:r>
        <w:t xml:space="preserve"> et al. 1970, Barden and Woods 1973).</w:t>
      </w:r>
    </w:p>
    <w:p w:rsidR="009B0FBF" w:rsidP="009B0FBF" w:rsidRDefault="009B0FBF"/>
    <w:p w:rsidR="009B0FBF" w:rsidP="009B0FBF" w:rsidRDefault="009B0FBF">
      <w:r>
        <w:t>Two primary disturbance factors are used to model this system. Catastrophic windthrow affects mature stands and occurs on an approximately 600-700yr rotation (MNDNR 2005). Replacement fire occurs primarily in young and windthrown stands and occurs on a rotation of approximately 1000yrs. In addition, surface fires occur in young stands &lt;100yrs of age which contain a significant component of oak. The disturbance probabilities by class applied in the model are contained in the VDDT documentation section.</w:t>
      </w:r>
    </w:p>
    <w:p w:rsidR="00D47865" w:rsidP="009B0FBF" w:rsidRDefault="00D47865"/>
    <w:p w:rsidR="00D47865" w:rsidP="009B0FBF" w:rsidRDefault="00D47865">
      <w:r>
        <w:t>Per the IL Fire Needs Assessment survey, Fire Return Intervals for this system (currently) are on average 7 years to maintain good quality habitat in this system and 3 years to restore degraded habitats back to this system. No information on burn severity was provided.</w:t>
      </w:r>
    </w:p>
    <w:p w:rsidR="00D47865" w:rsidP="009B0FBF" w:rsidRDefault="00D47865"/>
    <w:p w:rsidR="009B0FBF" w:rsidP="009B0FBF" w:rsidRDefault="0066663C">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B0FBF" w:rsidP="009B0FBF" w:rsidRDefault="009B0FBF">
      <w:pPr>
        <w:pStyle w:val="InfoPara"/>
      </w:pPr>
      <w:r>
        <w:t>Scale Description</w:t>
      </w:r>
    </w:p>
    <w:p w:rsidR="009B0FBF" w:rsidP="009B0FBF" w:rsidRDefault="009B0FBF">
      <w:r>
        <w:t>1314 was likely a small patch BpS in MZ49, where it was largely restricted to ravine slopes or moraines protected from fire.</w:t>
      </w:r>
    </w:p>
    <w:p w:rsidR="009B0FBF" w:rsidP="009B0FBF" w:rsidRDefault="009B0FBF">
      <w:pPr>
        <w:pStyle w:val="InfoPara"/>
      </w:pPr>
      <w:r>
        <w:t>Adjacency or Identification Concerns</w:t>
      </w:r>
    </w:p>
    <w:p w:rsidR="009B0FBF" w:rsidP="009B0FBF" w:rsidRDefault="009B0FBF">
      <w:r>
        <w:t>Historically, elm was a canopy component within the maple-basswood forest (Grimm 1981). However, this species has been largely eliminated from this system due to Dutch elm disease. American elm (</w:t>
      </w:r>
      <w:proofErr w:type="spellStart"/>
      <w:r>
        <w:t>Ulmus</w:t>
      </w:r>
      <w:proofErr w:type="spellEnd"/>
      <w:r>
        <w:t xml:space="preserve"> </w:t>
      </w:r>
      <w:proofErr w:type="spellStart"/>
      <w:r>
        <w:t>americana</w:t>
      </w:r>
      <w:proofErr w:type="spellEnd"/>
      <w:r>
        <w:t xml:space="preserve">) is now generally only present in the understory and </w:t>
      </w:r>
      <w:proofErr w:type="spellStart"/>
      <w:r>
        <w:t>midstory</w:t>
      </w:r>
      <w:proofErr w:type="spellEnd"/>
      <w:r>
        <w:t xml:space="preserve"> in contemporary forests, whereas historically it would have been the occasional canopy dominant.</w:t>
      </w:r>
    </w:p>
    <w:p w:rsidR="009B0FBF" w:rsidP="009B0FBF" w:rsidRDefault="009B0FBF"/>
    <w:p w:rsidR="009B0FBF" w:rsidP="009B0FBF" w:rsidRDefault="009B0FBF">
      <w:r>
        <w:t>Uncharacteristic conditions in this setting include infestation by exotic earthworms of European species that have affected or begun to affect soil conditions, herb/forb species representation, and tree regeneration (Hale et al. 1999). Some of the mesic forests occupying ravine slopes have greater frequency of oaks and may lack sugar maple and/or basswood. However, this BpS is the most suitable type to map through much of Illinois, outside of the far southern part of the state where it is replaced by BpS 1321 and a few eastern counties where beech-maple forest (BpS 1313) occurs.</w:t>
      </w:r>
    </w:p>
    <w:p w:rsidR="009B0FBF" w:rsidP="009B0FBF" w:rsidRDefault="009B0FBF">
      <w:pPr>
        <w:pStyle w:val="InfoPara"/>
      </w:pPr>
      <w:r>
        <w:t>Issues or Problems</w:t>
      </w:r>
    </w:p>
    <w:p w:rsidR="009B0FBF" w:rsidP="009B0FBF" w:rsidRDefault="009B0FBF"/>
    <w:p w:rsidR="009B0FBF" w:rsidP="009B0FBF" w:rsidRDefault="009B0FBF">
      <w:pPr>
        <w:pStyle w:val="InfoPara"/>
      </w:pPr>
      <w:r>
        <w:t>Native Uncharacteristic Conditions</w:t>
      </w:r>
    </w:p>
    <w:p w:rsidR="009B0FBF" w:rsidP="009B0FBF" w:rsidRDefault="009B0FBF">
      <w:r>
        <w:t xml:space="preserve">Post-settlement lumbering and disturbance have converted </w:t>
      </w:r>
      <w:proofErr w:type="gramStart"/>
      <w:r>
        <w:t>a number of</w:t>
      </w:r>
      <w:proofErr w:type="gramEnd"/>
      <w:r>
        <w:t xml:space="preserve"> maple-basswood woodlots to dominance by oaks or early successional species.</w:t>
      </w:r>
    </w:p>
    <w:p w:rsidR="009B0FBF" w:rsidP="009B0FBF" w:rsidRDefault="009B0FBF">
      <w:pPr>
        <w:pStyle w:val="InfoPara"/>
      </w:pPr>
      <w:r>
        <w:t>Comments</w:t>
      </w:r>
    </w:p>
    <w:p w:rsidR="003010B6" w:rsidP="003010B6" w:rsidRDefault="003010B6"/>
    <w:p w:rsidR="003010B6" w:rsidP="003010B6" w:rsidRDefault="003010B6">
      <w:pPr>
        <w:rPr>
          <w:b/>
        </w:rPr>
      </w:pPr>
    </w:p>
    <w:p w:rsidR="003010B6" w:rsidP="003010B6" w:rsidRDefault="003010B6">
      <w:pPr>
        <w:rPr>
          <w:b/>
        </w:rPr>
      </w:pPr>
    </w:p>
    <w:p w:rsidR="009B0FBF" w:rsidP="009B0FBF" w:rsidRDefault="009B0FBF">
      <w:pPr>
        <w:pStyle w:val="ReportSection"/>
      </w:pPr>
      <w:r>
        <w:t>Succession Classes</w:t>
      </w:r>
    </w:p>
    <w:p w:rsidR="009B0FBF" w:rsidP="009B0FBF" w:rsidRDefault="009B0FBF"/>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B0FBF" w:rsidP="009B0FBF" w:rsidRDefault="009B0FBF">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9B0FBF" w:rsidP="009B0FBF" w:rsidRDefault="009B0FBF"/>
    <w:p w:rsidR="009B0FBF" w:rsidP="009B0FBF" w:rsidRDefault="009B0FBF">
      <w:pPr>
        <w:pStyle w:val="SClassInfoPara"/>
      </w:pPr>
      <w:r>
        <w:t>Indicator Species</w:t>
      </w:r>
    </w:p>
    <w:p w:rsidR="009B0FBF" w:rsidP="009B0FBF" w:rsidRDefault="009B0FBF"/>
    <w:p w:rsidR="009B0FBF" w:rsidP="009B0FBF" w:rsidRDefault="009B0FBF">
      <w:pPr>
        <w:pStyle w:val="SClassInfoPara"/>
      </w:pPr>
      <w:r>
        <w:t>Description</w:t>
      </w:r>
    </w:p>
    <w:p w:rsidR="009B0FBF" w:rsidP="009B0FBF" w:rsidRDefault="009B0FBF">
      <w:r>
        <w:t xml:space="preserve">Characterized by early-seral young forest following a catastrophic wind or fire event. Young forest dominated by canopy species that respond rapidly to increased light availability, including northern red oak, basswood, and black cherry. Sugar maple is not likely to establish immediately following fire, but regeneration may be heavy following windthrow events. </w:t>
      </w:r>
    </w:p>
    <w:p w:rsidR="009B0FBF" w:rsidP="009B0FBF" w:rsidRDefault="009B0FBF"/>
    <w:p>
      <w:r>
        <w:rPr>
          <w:i/>
          <w:u w:val="single"/>
        </w:rPr>
        <w:t>Maximum Tree Size Class</w:t>
      </w:r>
      <w:br/>
      <w:r>
        <w:t>Pole 5-9" DBH</w:t>
      </w:r>
    </w:p>
    <w:p w:rsidR="009B0FBF" w:rsidP="009B0FBF" w:rsidRDefault="009B0FBF">
      <w:pPr>
        <w:pStyle w:val="InfoPara"/>
        <w:pBdr>
          <w:top w:val="single" w:color="auto" w:sz="4" w:space="1"/>
        </w:pBdr>
      </w:pPr>
      <w:r>
        <w:t>Class B</w:t>
      </w:r>
      <w:r>
        <w:tab/>
        <w:t>8</w:t>
      </w:r>
      <w:r w:rsidR="002A3B10">
        <w:tab/>
      </w:r>
      <w:r w:rsidR="002A3B10">
        <w:tab/>
      </w:r>
      <w:r w:rsidR="002A3B10">
        <w:tab/>
      </w:r>
      <w:r w:rsidR="002A3B10">
        <w:tab/>
      </w:r>
      <w:r w:rsidR="004F7795">
        <w:t>Mid Development 1 - All Structures</w:t>
      </w:r>
    </w:p>
    <w:p w:rsidR="009B0FBF" w:rsidP="009B0FBF" w:rsidRDefault="009B0FBF"/>
    <w:p w:rsidR="009B0FBF" w:rsidP="009B0FBF" w:rsidRDefault="009B0FBF">
      <w:pPr>
        <w:pStyle w:val="SClassInfoPara"/>
      </w:pPr>
      <w:r>
        <w:t>Indicator Species</w:t>
      </w:r>
    </w:p>
    <w:p w:rsidR="009B0FBF" w:rsidP="009B0FBF" w:rsidRDefault="009B0FBF"/>
    <w:p w:rsidR="009B0FBF" w:rsidP="009B0FBF" w:rsidRDefault="009B0FBF">
      <w:pPr>
        <w:pStyle w:val="SClassInfoPara"/>
      </w:pPr>
      <w:r>
        <w:t>Description</w:t>
      </w:r>
    </w:p>
    <w:p w:rsidR="009B0FBF" w:rsidP="009B0FBF" w:rsidRDefault="009B0FBF">
      <w:r>
        <w:t xml:space="preserve">Characterized by </w:t>
      </w:r>
      <w:r w:rsidR="00D47865">
        <w:t>mid-succession maturing forests.</w:t>
      </w:r>
      <w:r>
        <w:t xml:space="preserve"> In this stage there is the gradual decline of northern red oak and it is replaced by sugar maple. American elm and basswood increase. </w:t>
      </w:r>
    </w:p>
    <w:p w:rsidR="009B0FBF" w:rsidP="009B0FBF" w:rsidRDefault="009B0FBF"/>
    <w:p>
      <w:r>
        <w:rPr>
          <w:i/>
          <w:u w:val="single"/>
        </w:rPr>
        <w:t>Maximum Tree Size Class</w:t>
      </w:r>
      <w:br/>
      <w:r>
        <w:t>Medium 9-21"DBH</w:t>
      </w:r>
    </w:p>
    <w:p w:rsidR="009B0FBF" w:rsidP="009B0FBF" w:rsidRDefault="009B0FBF">
      <w:pPr>
        <w:pStyle w:val="InfoPara"/>
        <w:pBdr>
          <w:top w:val="single" w:color="auto" w:sz="4" w:space="1"/>
        </w:pBdr>
      </w:pPr>
      <w:r>
        <w:t>Class C</w:t>
      </w:r>
      <w:r>
        <w:tab/>
        <w:t>14</w:t>
      </w:r>
      <w:r w:rsidR="002A3B10">
        <w:tab/>
      </w:r>
      <w:r w:rsidR="002A3B10">
        <w:tab/>
      </w:r>
      <w:r w:rsidR="002A3B10">
        <w:tab/>
      </w:r>
      <w:r w:rsidR="002A3B10">
        <w:tab/>
      </w:r>
      <w:r w:rsidR="004F7795">
        <w:t>Mid Development 2 - Closed</w:t>
      </w:r>
    </w:p>
    <w:p w:rsidR="009B0FBF" w:rsidP="009B0FBF" w:rsidRDefault="009B0FBF"/>
    <w:p w:rsidR="009B0FBF" w:rsidP="009B0FBF" w:rsidRDefault="009B0FBF">
      <w:pPr>
        <w:pStyle w:val="SClassInfoPara"/>
      </w:pPr>
      <w:r>
        <w:t>Indicator Species</w:t>
      </w:r>
    </w:p>
    <w:p w:rsidR="009B0FBF" w:rsidP="009B0FBF" w:rsidRDefault="009B0FBF"/>
    <w:p w:rsidR="009B0FBF" w:rsidP="009B0FBF" w:rsidRDefault="009B0FBF">
      <w:pPr>
        <w:pStyle w:val="SClassInfoPara"/>
      </w:pPr>
      <w:r>
        <w:t>Description</w:t>
      </w:r>
    </w:p>
    <w:p w:rsidR="009B0FBF" w:rsidP="009B0FBF" w:rsidRDefault="009B0FBF">
      <w:r>
        <w:t>Characterized by late</w:t>
      </w:r>
      <w:r w:rsidR="00D47865">
        <w:t>-successional maturing forest</w:t>
      </w:r>
      <w:r>
        <w:t xml:space="preserve">. Forest dominated by sugar maple, beech, basswood, white ash, tulip-poplar, black cherry, ironwood, northern red oak. </w:t>
      </w:r>
    </w:p>
    <w:p w:rsidR="009B0FBF" w:rsidP="009B0FBF" w:rsidRDefault="009B0FBF"/>
    <w:p>
      <w:r>
        <w:rPr>
          <w:i/>
          <w:u w:val="single"/>
        </w:rPr>
        <w:t>Maximum Tree Size Class</w:t>
      </w:r>
      <w:br/>
      <w:r>
        <w:t>Large 21-33"DBH</w:t>
      </w:r>
    </w:p>
    <w:p w:rsidR="009B0FBF" w:rsidP="009B0FBF" w:rsidRDefault="009B0FBF">
      <w:pPr>
        <w:pStyle w:val="InfoPara"/>
        <w:pBdr>
          <w:top w:val="single" w:color="auto" w:sz="4" w:space="1"/>
        </w:pBdr>
      </w:pPr>
      <w:r>
        <w:t>Class D</w:t>
      </w:r>
      <w:r>
        <w:tab/>
        <w:t>70</w:t>
      </w:r>
      <w:r w:rsidR="002A3B10">
        <w:tab/>
      </w:r>
      <w:r w:rsidR="002A3B10">
        <w:tab/>
      </w:r>
      <w:r w:rsidR="002A3B10">
        <w:tab/>
      </w:r>
      <w:r w:rsidR="002A3B10">
        <w:tab/>
      </w:r>
      <w:r w:rsidR="004F7795">
        <w:t>Late Development 1 - Closed</w:t>
      </w:r>
    </w:p>
    <w:p w:rsidR="009B0FBF" w:rsidP="009B0FBF" w:rsidRDefault="009B0FBF"/>
    <w:p w:rsidR="009B0FBF" w:rsidP="009B0FBF" w:rsidRDefault="009B0FBF">
      <w:pPr>
        <w:pStyle w:val="SClassInfoPara"/>
      </w:pPr>
      <w:r>
        <w:t>Indicator Species</w:t>
      </w:r>
    </w:p>
    <w:p w:rsidR="009B0FBF" w:rsidP="009B0FBF" w:rsidRDefault="009B0FBF"/>
    <w:p w:rsidR="009B0FBF" w:rsidP="009B0FBF" w:rsidRDefault="009B0FBF">
      <w:pPr>
        <w:pStyle w:val="SClassInfoPara"/>
      </w:pPr>
      <w:r>
        <w:t>Description</w:t>
      </w:r>
    </w:p>
    <w:p w:rsidR="009B0FBF" w:rsidP="009B0FBF" w:rsidRDefault="009B0FBF">
      <w:r>
        <w:t xml:space="preserve">These old late-seral forests (&gt;150yrs) are the </w:t>
      </w:r>
      <w:proofErr w:type="gramStart"/>
      <w:r>
        <w:t>end point</w:t>
      </w:r>
      <w:proofErr w:type="gramEnd"/>
      <w:r>
        <w:t xml:space="preserve"> of succession. Forest dominated by sugar maple, basswood, white ash, tulip-poplar, ironwood, northern red oak. Small gap disturbances predominate to maintain a high proportion of the acreage in this class. </w:t>
      </w:r>
    </w:p>
    <w:p w:rsidR="00D47865" w:rsidP="009B0FBF" w:rsidRDefault="00D47865"/>
    <w:p w:rsidRPr="00D47865" w:rsidR="00D47865" w:rsidP="00D47865" w:rsidRDefault="00D47865">
      <w:pPr>
        <w:pStyle w:val="SClassInfoPara"/>
        <w:rPr>
          <w:i w:val="0"/>
          <w:u w:val="none"/>
        </w:rPr>
      </w:pPr>
      <w:r w:rsidRPr="00D47865">
        <w:rPr>
          <w:i w:val="0"/>
          <w:u w:val="none"/>
        </w:rPr>
        <w:t xml:space="preserve">Upper Layer Lifeform is not the dominant lifeform. In this late seral stage there would be a multi-layer canopy and sub-canopy (created through small-scale windthrow). Therefore, although the min tree height is set at 25m </w:t>
      </w:r>
      <w:proofErr w:type="gramStart"/>
      <w:r w:rsidRPr="00D47865">
        <w:rPr>
          <w:i w:val="0"/>
          <w:u w:val="none"/>
        </w:rPr>
        <w:t>in order to</w:t>
      </w:r>
      <w:proofErr w:type="gramEnd"/>
      <w:r w:rsidRPr="00D47865">
        <w:rPr>
          <w:i w:val="0"/>
          <w:u w:val="none"/>
        </w:rPr>
        <w:t xml:space="preserve"> make this class exclusive from class C tree height would range from 10-50m.</w:t>
      </w:r>
    </w:p>
    <w:p w:rsidR="009B0FBF" w:rsidP="009B0FBF" w:rsidRDefault="009B0FBF"/>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B0FBF" w:rsidP="009B0FBF" w:rsidRDefault="009B0FBF">
      <w:r>
        <w:t>Barden, L.S.., and F.W. Woods. 1973. Characteristics of lightning fires in southern Appalachian forests. Proc. Of Tall Timbers Fire Ecol. Conf. 13: 345-361.</w:t>
      </w:r>
    </w:p>
    <w:p w:rsidR="009B0FBF" w:rsidP="009B0FBF" w:rsidRDefault="009B0FBF"/>
    <w:p w:rsidR="009B0FBF" w:rsidP="009B0FBF" w:rsidRDefault="009B0FBF">
      <w:r>
        <w:t xml:space="preserve">Bormann, F.H. and Likens, G.E., 1979. Catastrophic disturbance and the steady state in northern hardwood forests. American Scientist. 67: 660-669. </w:t>
      </w:r>
    </w:p>
    <w:p w:rsidR="009B0FBF" w:rsidP="009B0FBF" w:rsidRDefault="009B0FBF"/>
    <w:p w:rsidR="009B0FBF" w:rsidP="009B0FBF" w:rsidRDefault="009B0FBF">
      <w:proofErr w:type="spellStart"/>
      <w:r>
        <w:t>Canham</w:t>
      </w:r>
      <w:proofErr w:type="spellEnd"/>
      <w:r>
        <w:t xml:space="preserve">, Charles D. and </w:t>
      </w:r>
      <w:proofErr w:type="spellStart"/>
      <w:r>
        <w:t>Orie</w:t>
      </w:r>
      <w:proofErr w:type="spellEnd"/>
      <w:r>
        <w:t xml:space="preserve"> L. Loucks. 1984. Catastrophic windthrow in </w:t>
      </w:r>
      <w:proofErr w:type="spellStart"/>
      <w:r>
        <w:t>presettlement</w:t>
      </w:r>
      <w:proofErr w:type="spellEnd"/>
      <w:r>
        <w:t xml:space="preserve"> forests of Wisconsin. Ecology. 65(3): 803-809.</w:t>
      </w:r>
    </w:p>
    <w:p w:rsidR="009B0FBF" w:rsidP="009B0FBF" w:rsidRDefault="009B0FBF"/>
    <w:p w:rsidR="009B0FBF" w:rsidP="009B0FBF" w:rsidRDefault="009B0FBF">
      <w:r>
        <w:t xml:space="preserve">Cleland, D.T., S.C. Saunders, T.R. Crow, D.I. </w:t>
      </w:r>
      <w:proofErr w:type="spellStart"/>
      <w:r>
        <w:t>Dickmann</w:t>
      </w:r>
      <w:proofErr w:type="spellEnd"/>
      <w:r>
        <w:t>, A.L. Maclean, J.K. Jordan, R.L. Watson, and A.M. Sloan. 2004. Characterizing historical and modern fire regimes in the lake states: a landscape ecosystem approach. Landscape Ecology. 19: 311–325.</w:t>
      </w:r>
    </w:p>
    <w:p w:rsidR="009B0FBF" w:rsidP="009B0FBF" w:rsidRDefault="009B0FBF"/>
    <w:p w:rsidR="009B0FBF" w:rsidP="009B0FBF" w:rsidRDefault="009B0FBF">
      <w:r>
        <w:t>Cohen, J.G. 2004. Natural community abstract for mesic southern forest. Michigan Natural Features Inventory, Lansing, MI. 12 pp.</w:t>
      </w:r>
    </w:p>
    <w:p w:rsidR="009B0FBF" w:rsidP="009B0FBF" w:rsidRDefault="009B0FBF"/>
    <w:p w:rsidR="009B0FBF" w:rsidP="009B0FBF" w:rsidRDefault="009B0FBF">
      <w:r>
        <w:t>Curtis, J.T. 1959. The Vegetation of Wisconsin. The University of Wisconsin Press, Madison, WI.</w:t>
      </w:r>
    </w:p>
    <w:p w:rsidR="009B0FBF" w:rsidP="009B0FBF" w:rsidRDefault="009B0FBF"/>
    <w:p w:rsidR="009B0FBF" w:rsidP="009B0FBF" w:rsidRDefault="009B0FBF">
      <w:proofErr w:type="spellStart"/>
      <w:r>
        <w:t>Frelich</w:t>
      </w:r>
      <w:proofErr w:type="spellEnd"/>
      <w:r>
        <w:t>, Lee E. and Craig G. Lorimer. 1991. Natural disturbance regimes in hemlock-hardwood forests of Upper Great Lakes region. Ecological Monographs. 61: 145-164.</w:t>
      </w:r>
    </w:p>
    <w:p w:rsidR="009B0FBF" w:rsidP="009B0FBF" w:rsidRDefault="009B0FBF"/>
    <w:p w:rsidR="009B0FBF" w:rsidP="009B0FBF" w:rsidRDefault="009B0FBF">
      <w:r>
        <w:t xml:space="preserve">Grimm, Eric C. 1981. Chronology and dynamics of vegetation change in the prairie-woodland region of southern Minnesota, USA. New </w:t>
      </w:r>
      <w:proofErr w:type="spellStart"/>
      <w:r>
        <w:t>Phytologist</w:t>
      </w:r>
      <w:proofErr w:type="spellEnd"/>
      <w:r>
        <w:t>. 93: 311-350.</w:t>
      </w:r>
    </w:p>
    <w:p w:rsidR="009B0FBF" w:rsidP="009B0FBF" w:rsidRDefault="009B0FBF"/>
    <w:p w:rsidR="009B0FBF" w:rsidP="009B0FBF" w:rsidRDefault="009B0FBF">
      <w:r>
        <w:t>Grimm, E.C. 1984. Fire and other factors controlling the Big Woods vegetation of Minnesota in the mid-nineteenth century. Ecological Monographs. 54: 291-311.</w:t>
      </w:r>
    </w:p>
    <w:p w:rsidR="009B0FBF" w:rsidP="009B0FBF" w:rsidRDefault="009B0FBF"/>
    <w:p w:rsidR="009B0FBF" w:rsidP="009B0FBF" w:rsidRDefault="009B0FBF">
      <w:r>
        <w:t xml:space="preserve">Hale, C., L. </w:t>
      </w:r>
      <w:proofErr w:type="spellStart"/>
      <w:r>
        <w:t>Frelich</w:t>
      </w:r>
      <w:proofErr w:type="spellEnd"/>
      <w:r>
        <w:t>, and P. Reich. 1999. Unpublished. Research proposal concerning earthworms and population dynamics and diversity of native plant species. University of Minnesota, St. Paul, MN.</w:t>
      </w:r>
    </w:p>
    <w:p w:rsidR="009B0FBF" w:rsidP="009B0FBF" w:rsidRDefault="009B0FBF"/>
    <w:p w:rsidR="009B0FBF" w:rsidP="009B0FBF" w:rsidRDefault="009B0FBF">
      <w:r>
        <w:t>Illinois Department of Natural Resources. 2007. Illinois Nature Preserves Directory. &lt;http: //dnr.state.il.us/INPC/Npdir.htm&gt; Accessed 19 December 2007.</w:t>
      </w:r>
    </w:p>
    <w:p w:rsidR="009B0FBF" w:rsidP="009B0FBF" w:rsidRDefault="009B0FBF"/>
    <w:p w:rsidR="009B0FBF" w:rsidP="009B0FBF" w:rsidRDefault="009B0FBF">
      <w:r>
        <w:t xml:space="preserve">Kucera, C. L. 1952. An ecological study of a hardwood forest area in central Iowa. Ecological Monographs 22: 283299. </w:t>
      </w:r>
    </w:p>
    <w:p w:rsidR="009B0FBF" w:rsidP="009B0FBF" w:rsidRDefault="009B0FBF"/>
    <w:p w:rsidR="009B0FBF" w:rsidP="009B0FBF" w:rsidRDefault="009B0FBF">
      <w:proofErr w:type="spellStart"/>
      <w:r>
        <w:t>Jacquart</w:t>
      </w:r>
      <w:proofErr w:type="spellEnd"/>
      <w:r>
        <w:t xml:space="preserve">, E., M. </w:t>
      </w:r>
      <w:proofErr w:type="spellStart"/>
      <w:r>
        <w:t>Homoya</w:t>
      </w:r>
      <w:proofErr w:type="spellEnd"/>
      <w:r>
        <w:t xml:space="preserve">, and L. </w:t>
      </w:r>
      <w:proofErr w:type="spellStart"/>
      <w:r>
        <w:t>Casebere</w:t>
      </w:r>
      <w:proofErr w:type="spellEnd"/>
      <w:r>
        <w:t>. 2002. Natural communities of Indiana: 7/1/02 working draft. Indiana Department of Natural Resources, Division of Nature Preserves, Indianapolis, IN.</w:t>
      </w:r>
    </w:p>
    <w:p w:rsidR="009B0FBF" w:rsidP="009B0FBF" w:rsidRDefault="009B0FBF"/>
    <w:p w:rsidR="009B0FBF" w:rsidP="009B0FBF" w:rsidRDefault="009B0FBF">
      <w:r>
        <w:t xml:space="preserve">Lindsey, A.A., D.V. </w:t>
      </w:r>
      <w:proofErr w:type="spellStart"/>
      <w:r>
        <w:t>Schmelz</w:t>
      </w:r>
      <w:proofErr w:type="spellEnd"/>
      <w:r>
        <w:t>, and S.A. Nichols. 1969. Natural areas in Indiana and their preservation. The Report of the Indiana Natural Areas Survey, Department of Biological Sciences, Purdue University, Lafayette, IN.</w:t>
      </w:r>
    </w:p>
    <w:p w:rsidR="009B0FBF" w:rsidP="009B0FBF" w:rsidRDefault="009B0FBF"/>
    <w:p w:rsidR="009B0FBF" w:rsidP="009B0FBF" w:rsidRDefault="009B0FBF">
      <w:r>
        <w:t xml:space="preserve">Minnesota Department of Natural Resources (2005). Field Guide to the Native Plant Communities of Minnesota: The Eastern Broadleaf Forest Province. Ecological Land </w:t>
      </w:r>
      <w:proofErr w:type="spellStart"/>
      <w:r>
        <w:t>Lcassification</w:t>
      </w:r>
      <w:proofErr w:type="spellEnd"/>
      <w:r>
        <w:t xml:space="preserve"> Program. Minnesota County Biological Survey, and Natural Heritage and Nongame Research Program. MNDNR St. Paul, MN. </w:t>
      </w:r>
    </w:p>
    <w:p w:rsidR="009B0FBF" w:rsidP="009B0FBF" w:rsidRDefault="009B0FBF"/>
    <w:p w:rsidR="009B0FBF" w:rsidP="009B0FBF" w:rsidRDefault="009B0FBF">
      <w:r>
        <w:t>NatureServe. 2007. International Ecological Classification Standard: Terrestrial Ecological Classifications. NatureServe Central Databases. Arlington, VA. Data current as of 10 February 2007.</w:t>
      </w:r>
    </w:p>
    <w:p w:rsidR="009B0FBF" w:rsidP="009B0FBF" w:rsidRDefault="009B0FBF"/>
    <w:p w:rsidR="009B0FBF" w:rsidP="009B0FBF" w:rsidRDefault="009B0FBF">
      <w:proofErr w:type="spellStart"/>
      <w:r>
        <w:t>Niering</w:t>
      </w:r>
      <w:proofErr w:type="spellEnd"/>
      <w:r>
        <w:t>, W.A.; Godwin, R.H.; Taylor, S. 1970. Prescribed burning in southern New England: Introduction to long-range studies. Tall Timbers Fire Ecology Conference. 10: 267-286.</w:t>
      </w:r>
    </w:p>
    <w:p w:rsidR="009B0FBF" w:rsidP="009B0FBF" w:rsidRDefault="009B0FBF"/>
    <w:p w:rsidR="009B0FBF" w:rsidP="009B0FBF" w:rsidRDefault="009B0FBF">
      <w:r>
        <w:t>Omernik, J.M., S.S. Chapman, R.A. Lillie, and R.T. Dumke. 2000. Ecoregions of Wisconsin. Transactions of the Wisconsin Academy of Science, Arts and Letters 88(2000): 77-103.</w:t>
      </w:r>
    </w:p>
    <w:p w:rsidR="009B0FBF" w:rsidP="009B0FBF" w:rsidRDefault="009B0FBF"/>
    <w:p w:rsidR="009B0FBF" w:rsidP="009B0FBF" w:rsidRDefault="009B0FBF">
      <w:r>
        <w:t>Runkle, James Reade. 1982. Patterns of disturbance in some old growth mesic forests of eastern North America. Ecology. 63(5): 1533-1546.</w:t>
      </w:r>
    </w:p>
    <w:p w:rsidR="009B0FBF" w:rsidP="009B0FBF" w:rsidRDefault="009B0FBF"/>
    <w:p w:rsidR="009B0FBF" w:rsidP="009B0FBF" w:rsidRDefault="009B0FBF">
      <w:r>
        <w:t xml:space="preserve">Schmidt, Kirsten M., James P. </w:t>
      </w:r>
      <w:proofErr w:type="spellStart"/>
      <w:r>
        <w:t>Menakis</w:t>
      </w:r>
      <w:proofErr w:type="spellEnd"/>
      <w:r>
        <w:t xml:space="preserve">, Colin C. Hardy, Wendel J. Hann, and David L. Bunnell. 2002. Development of coarse-scale spatial data for wildland fire and fuel management. Gen. Tech. Rep. RMRS-GTR-87. Fort Collins, CO: USDA Forest Service, Rocky Mountain Research Station: 41 </w:t>
      </w:r>
      <w:proofErr w:type="spellStart"/>
      <w:r>
        <w:t>pp+CD</w:t>
      </w:r>
      <w:proofErr w:type="spellEnd"/>
      <w:r>
        <w:t>.</w:t>
      </w:r>
    </w:p>
    <w:p w:rsidR="009B0FBF" w:rsidP="009B0FBF" w:rsidRDefault="009B0FBF"/>
    <w:p w:rsidR="009B0FBF" w:rsidP="009B0FBF" w:rsidRDefault="009B0FBF">
      <w:r>
        <w:t>USDA Forest Service, Rocky Mountain Research Station, Fire Sciences Laboratory (2002, December). Fire Effects Information System, [Online]. http: //www.fs.fed.us/database/feis/.</w:t>
      </w:r>
    </w:p>
    <w:p w:rsidR="009B0FBF" w:rsidP="009B0FBF" w:rsidRDefault="009B0FBF"/>
    <w:p w:rsidR="009B0FBF" w:rsidP="009B0FBF" w:rsidRDefault="009B0FBF">
      <w:proofErr w:type="spellStart"/>
      <w:r>
        <w:t>Vogl</w:t>
      </w:r>
      <w:proofErr w:type="spellEnd"/>
      <w:r>
        <w:t xml:space="preserve">, R.J. 1967. Controlled burning for wildlife in Wisconsin. Proc, Tall Timbers </w:t>
      </w:r>
    </w:p>
    <w:p w:rsidR="009B0FBF" w:rsidP="009B0FBF" w:rsidRDefault="009B0FBF">
      <w:r>
        <w:t xml:space="preserve">Fire </w:t>
      </w:r>
      <w:proofErr w:type="spellStart"/>
      <w:r>
        <w:t>Ecol</w:t>
      </w:r>
      <w:proofErr w:type="spellEnd"/>
      <w:r>
        <w:t xml:space="preserve"> </w:t>
      </w:r>
      <w:proofErr w:type="spellStart"/>
      <w:r>
        <w:t>Conf</w:t>
      </w:r>
      <w:proofErr w:type="spellEnd"/>
      <w:r>
        <w:t xml:space="preserve"> 6: 47-96.</w:t>
      </w:r>
    </w:p>
    <w:p w:rsidR="009B0FBF" w:rsidP="009B0FBF" w:rsidRDefault="009B0FBF"/>
    <w:p w:rsidR="009B0FBF" w:rsidP="009B0FBF" w:rsidRDefault="009B0FBF">
      <w:r>
        <w:t xml:space="preserve">Webb, T. III, P.J. </w:t>
      </w:r>
      <w:proofErr w:type="spellStart"/>
      <w:r>
        <w:t>Bartlein</w:t>
      </w:r>
      <w:proofErr w:type="spellEnd"/>
      <w:r>
        <w:t xml:space="preserve">, S.P. Harrison, K.H. Anderson. 1993. Vegetation, lake levels, and climate in eastern North America for the past 18,000 years. In: Wright, H.E. Jr., J.E. </w:t>
      </w:r>
      <w:proofErr w:type="spellStart"/>
      <w:r>
        <w:t>Kutzbach</w:t>
      </w:r>
      <w:proofErr w:type="spellEnd"/>
      <w:r>
        <w:t xml:space="preserve">, T. Webb III, W.F. </w:t>
      </w:r>
      <w:proofErr w:type="spellStart"/>
      <w:r>
        <w:t>Ruddiman</w:t>
      </w:r>
      <w:proofErr w:type="spellEnd"/>
      <w:r>
        <w:t xml:space="preserve">, F.A. Street-Perrot, and P.J. </w:t>
      </w:r>
      <w:proofErr w:type="spellStart"/>
      <w:r>
        <w:t>Bartlein</w:t>
      </w:r>
      <w:proofErr w:type="spellEnd"/>
      <w:r>
        <w:t>, eds. Global Climates Since the Last Glacial Maximum. Minneapolis, MN: University of Minnesota Press: 415-467.</w:t>
      </w:r>
    </w:p>
    <w:p w:rsidR="009B0FBF" w:rsidP="009B0FBF" w:rsidRDefault="009B0FBF"/>
    <w:p w:rsidR="009B0FBF" w:rsidP="009B0FBF" w:rsidRDefault="009B0FBF">
      <w:r>
        <w:t xml:space="preserve">White, J. and M.H. </w:t>
      </w:r>
      <w:proofErr w:type="spellStart"/>
      <w:r>
        <w:t>Madany</w:t>
      </w:r>
      <w:proofErr w:type="spellEnd"/>
      <w:r>
        <w:t xml:space="preserve">. 1978. Classification of natural communities in Illinois. Appendix 30 in: Illinois Natural Areas Inventory- Technical report by The Department of Landscape Architecture, University of Illinois at Urbana-Champaign &amp; The Natural Land Institute, Rockford, IL. </w:t>
      </w:r>
    </w:p>
    <w:p w:rsidR="009B0FBF" w:rsidP="009B0FBF" w:rsidRDefault="009B0FBF"/>
    <w:p w:rsidR="009B0FBF" w:rsidP="009B0FBF" w:rsidRDefault="009B0FBF">
      <w:r>
        <w:t xml:space="preserve">Woods, A.J., J.M. Omernik, C.S. Brockman, T.D. Gerber, W.D. </w:t>
      </w:r>
      <w:proofErr w:type="spellStart"/>
      <w:r>
        <w:t>Hosteter</w:t>
      </w:r>
      <w:proofErr w:type="spellEnd"/>
      <w:r>
        <w:t>, and S.H. Azevedo. 1998. Ecoregions of Indiana and Ohio (2-sided color poster with map, descriptive text, summary tables, and photographs): Reston, Virginia, U.S. Geological Survey, scale 1: 500,000.</w:t>
      </w:r>
    </w:p>
    <w:p w:rsidR="009B0FBF" w:rsidP="009B0FBF" w:rsidRDefault="009B0FBF"/>
    <w:p w:rsidR="009B0FBF" w:rsidP="009B0FBF" w:rsidRDefault="009B0FBF">
      <w:r>
        <w:t>Woods, A.J., Omernik, J.M., Pederson, C.L., and Moran, B.C., 2006, Ecoregions of Illinois (2-sided color poster with map, descriptive text, summary tables, and photographs): Reston, Virginia, U.S. Geological Survey, scale 1: 500,000.</w:t>
      </w:r>
    </w:p>
    <w:p w:rsidRPr="00A43E41" w:rsidR="004D5F12" w:rsidP="009B0FB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256" w:rsidRDefault="00494256">
      <w:r>
        <w:separator/>
      </w:r>
    </w:p>
  </w:endnote>
  <w:endnote w:type="continuationSeparator" w:id="0">
    <w:p w:rsidR="00494256" w:rsidRDefault="00494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FBF" w:rsidRDefault="009B0FBF" w:rsidP="009B0FB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256" w:rsidRDefault="00494256">
      <w:r>
        <w:separator/>
      </w:r>
    </w:p>
  </w:footnote>
  <w:footnote w:type="continuationSeparator" w:id="0">
    <w:p w:rsidR="00494256" w:rsidRDefault="00494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B0FB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010B6"/>
    <w:pPr>
      <w:ind w:left="720"/>
    </w:pPr>
    <w:rPr>
      <w:rFonts w:ascii="Calibri" w:eastAsia="Calibri" w:hAnsi="Calibri"/>
      <w:sz w:val="22"/>
      <w:szCs w:val="22"/>
    </w:rPr>
  </w:style>
  <w:style w:type="character" w:styleId="Hyperlink">
    <w:name w:val="Hyperlink"/>
    <w:rsid w:val="003010B6"/>
    <w:rPr>
      <w:color w:val="0000FF"/>
      <w:u w:val="single"/>
    </w:rPr>
  </w:style>
  <w:style w:type="paragraph" w:styleId="BalloonText">
    <w:name w:val="Balloon Text"/>
    <w:basedOn w:val="Normal"/>
    <w:link w:val="BalloonTextChar"/>
    <w:uiPriority w:val="99"/>
    <w:semiHidden/>
    <w:unhideWhenUsed/>
    <w:rsid w:val="00C50A0A"/>
    <w:rPr>
      <w:rFonts w:ascii="Tahoma" w:hAnsi="Tahoma" w:cs="Tahoma"/>
      <w:sz w:val="16"/>
      <w:szCs w:val="16"/>
    </w:rPr>
  </w:style>
  <w:style w:type="character" w:customStyle="1" w:styleId="BalloonTextChar">
    <w:name w:val="Balloon Text Char"/>
    <w:basedOn w:val="DefaultParagraphFont"/>
    <w:link w:val="BalloonText"/>
    <w:uiPriority w:val="99"/>
    <w:semiHidden/>
    <w:rsid w:val="00C50A0A"/>
    <w:rPr>
      <w:rFonts w:ascii="Tahoma" w:hAnsi="Tahoma" w:cs="Tahoma"/>
      <w:sz w:val="16"/>
      <w:szCs w:val="16"/>
    </w:rPr>
  </w:style>
  <w:style w:type="character" w:styleId="CommentReference">
    <w:name w:val="annotation reference"/>
    <w:basedOn w:val="DefaultParagraphFont"/>
    <w:uiPriority w:val="99"/>
    <w:semiHidden/>
    <w:unhideWhenUsed/>
    <w:rsid w:val="00C50A0A"/>
    <w:rPr>
      <w:sz w:val="16"/>
      <w:szCs w:val="16"/>
    </w:rPr>
  </w:style>
  <w:style w:type="paragraph" w:styleId="CommentText">
    <w:name w:val="annotation text"/>
    <w:basedOn w:val="Normal"/>
    <w:link w:val="CommentTextChar"/>
    <w:uiPriority w:val="99"/>
    <w:semiHidden/>
    <w:unhideWhenUsed/>
    <w:rsid w:val="00C50A0A"/>
    <w:rPr>
      <w:sz w:val="20"/>
      <w:szCs w:val="20"/>
    </w:rPr>
  </w:style>
  <w:style w:type="character" w:customStyle="1" w:styleId="CommentTextChar">
    <w:name w:val="Comment Text Char"/>
    <w:basedOn w:val="DefaultParagraphFont"/>
    <w:link w:val="CommentText"/>
    <w:uiPriority w:val="99"/>
    <w:semiHidden/>
    <w:rsid w:val="00C50A0A"/>
  </w:style>
  <w:style w:type="paragraph" w:styleId="CommentSubject">
    <w:name w:val="annotation subject"/>
    <w:basedOn w:val="CommentText"/>
    <w:next w:val="CommentText"/>
    <w:link w:val="CommentSubjectChar"/>
    <w:uiPriority w:val="99"/>
    <w:semiHidden/>
    <w:unhideWhenUsed/>
    <w:rsid w:val="00C50A0A"/>
    <w:rPr>
      <w:b/>
      <w:bCs/>
    </w:rPr>
  </w:style>
  <w:style w:type="character" w:customStyle="1" w:styleId="CommentSubjectChar">
    <w:name w:val="Comment Subject Char"/>
    <w:basedOn w:val="CommentTextChar"/>
    <w:link w:val="CommentSubject"/>
    <w:uiPriority w:val="99"/>
    <w:semiHidden/>
    <w:rsid w:val="00C50A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433185">
      <w:bodyDiv w:val="1"/>
      <w:marLeft w:val="0"/>
      <w:marRight w:val="0"/>
      <w:marTop w:val="0"/>
      <w:marBottom w:val="0"/>
      <w:divBdr>
        <w:top w:val="none" w:sz="0" w:space="0" w:color="auto"/>
        <w:left w:val="none" w:sz="0" w:space="0" w:color="auto"/>
        <w:bottom w:val="none" w:sz="0" w:space="0" w:color="auto"/>
        <w:right w:val="none" w:sz="0" w:space="0" w:color="auto"/>
      </w:divBdr>
    </w:div>
    <w:div w:id="193620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7</Pages>
  <Words>2428</Words>
  <Characters>13841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2014-08-21T15:03:00Z</cp:lastPrinted>
  <dcterms:created xsi:type="dcterms:W3CDTF">2018-10-05T17:45:00Z</dcterms:created>
  <dcterms:modified xsi:type="dcterms:W3CDTF">2025-02-12T09:41:44Z</dcterms:modified>
</cp:coreProperties>
</file>