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D9C" w:rsidP="007967F4" w:rsidRDefault="007967F4" w14:paraId="37CDBE21" w14:textId="77777777">
      <w:pPr>
        <w:pStyle w:val="BpSTitle"/>
      </w:pPr>
      <w:r>
        <w:t>13210</w:t>
      </w:r>
    </w:p>
    <w:p w:rsidR="00C5002D" w:rsidP="00C5002D" w:rsidRDefault="00C5002D" w14:paraId="6B03D63F" w14:textId="77777777">
      <w:pPr>
        <w:pStyle w:val="BpSTitle"/>
      </w:pPr>
      <w:r>
        <w:t>South-Central Interior Mesophytic Forest</w:t>
      </w:r>
    </w:p>
    <w:p w:rsidR="00C5002D" w:rsidP="00C5002D" w:rsidRDefault="00C5002D" w14:paraId="0D3F1C10" w14:textId="77777777">
      <w:r>
        <w:t>BpS Model/Description Version: Aug. 2020</w:t>
      </w:r>
      <w:r>
        <w:tab/>
      </w:r>
      <w:r>
        <w:tab/>
      </w:r>
      <w:r>
        <w:tab/>
      </w:r>
      <w:r>
        <w:tab/>
      </w:r>
      <w:r>
        <w:tab/>
      </w:r>
      <w:r>
        <w:tab/>
      </w:r>
      <w:r>
        <w:tab/>
      </w:r>
    </w:p>
    <w:p w:rsidR="00C5002D" w:rsidP="00C5002D" w:rsidRDefault="003E609C" w14:paraId="492437F3" w14:textId="3481C4AF">
      <w:r>
        <w:tab/>
      </w:r>
      <w:r>
        <w:tab/>
      </w:r>
      <w:r>
        <w:tab/>
      </w:r>
      <w:r>
        <w:tab/>
      </w:r>
      <w:r>
        <w:tab/>
      </w:r>
      <w:r>
        <w:tab/>
      </w:r>
      <w:r>
        <w:tab/>
      </w:r>
      <w:r>
        <w:tab/>
      </w:r>
      <w:r>
        <w:tab/>
      </w:r>
      <w:r>
        <w:tab/>
        <w:t>Update: 3/28/2018</w:t>
      </w:r>
    </w:p>
    <w:p w:rsidR="003E609C" w:rsidP="00C5002D" w:rsidRDefault="003E609C" w14:paraId="71632F22" w14:textId="77777777"/>
    <w:p w:rsidR="00C5002D" w:rsidP="00C5002D" w:rsidRDefault="00C5002D" w14:paraId="297763A0" w14:textId="77777777"/>
    <w:p w:rsidR="00C5002D" w:rsidP="00C5002D" w:rsidRDefault="00C5002D" w14:paraId="6435B469" w14:textId="77777777">
      <w:pPr>
        <w:pStyle w:val="InfoPara"/>
      </w:pPr>
      <w:r>
        <w:t>Vegetation Type</w:t>
      </w:r>
    </w:p>
    <w:p w:rsidR="00C5002D" w:rsidP="00C5002D" w:rsidRDefault="00C5002D" w14:paraId="7B56FE53" w14:textId="77777777">
      <w:r>
        <w:t>Forest and Woodland</w:t>
      </w:r>
    </w:p>
    <w:p w:rsidR="00C5002D" w:rsidP="00C5002D" w:rsidRDefault="00C5002D" w14:paraId="5367C2B8" w14:textId="77777777">
      <w:pPr>
        <w:pStyle w:val="InfoPara"/>
      </w:pPr>
      <w:r>
        <w:t>Map Zones</w:t>
      </w:r>
    </w:p>
    <w:p w:rsidR="007967F4" w:rsidP="007967F4" w:rsidRDefault="00AA0C00" w14:paraId="4EA5DD64" w14:textId="64CA2433">
      <w:r>
        <w:t xml:space="preserve">47, 48, </w:t>
      </w:r>
      <w:r w:rsidR="007967F4">
        <w:t>53</w:t>
      </w:r>
      <w:r w:rsidR="004313F1">
        <w:t>, 57</w:t>
      </w:r>
    </w:p>
    <w:p w:rsidR="00C5002D" w:rsidP="00C5002D" w:rsidRDefault="00C5002D" w14:paraId="4C2B2948" w14:textId="77777777">
      <w:pPr>
        <w:pStyle w:val="InfoPara"/>
      </w:pPr>
      <w:r>
        <w:t>Geographic Range</w:t>
      </w:r>
    </w:p>
    <w:p w:rsidR="00C5002D" w:rsidP="00C5002D" w:rsidRDefault="00C5002D" w14:paraId="2EDB94D6" w14:textId="77777777">
      <w:r>
        <w:t>The Interior-mesophytic forest system is found on the non-coastal plain portion of the Western Mesophytic Forest Region, extending north into unglaciated portions of the Beech-Maple Forest Region, of Braun (1950). There is much variability in different examples of this system across its range, with the composition of some occurrences in the escarpment of the Cumberland Plateau approaching that of examples of Southern and Central Appalachian Cove Forest (CES202.373). In limited areas of the region, some stands may contain hemlock (</w:t>
      </w:r>
      <w:proofErr w:type="spellStart"/>
      <w:r w:rsidRPr="003E609C">
        <w:rPr>
          <w:i/>
        </w:rPr>
        <w:t>Tsuga</w:t>
      </w:r>
      <w:proofErr w:type="spellEnd"/>
      <w:r w:rsidRPr="003E609C">
        <w:rPr>
          <w:i/>
        </w:rPr>
        <w:t xml:space="preserve"> canadensis</w:t>
      </w:r>
      <w:r>
        <w:t>). These are noteworthy on a local basis, as the tree is less well distributed in the range of this system than it is in corresponding environments at higher elevation in the Appalachians or to the north.</w:t>
      </w:r>
    </w:p>
    <w:p w:rsidR="00C5002D" w:rsidP="00C5002D" w:rsidRDefault="00C5002D" w14:paraId="38E99BE0" w14:textId="77777777">
      <w:pPr>
        <w:pStyle w:val="InfoPara"/>
      </w:pPr>
      <w:r>
        <w:t>Biophysical Site Description</w:t>
      </w:r>
    </w:p>
    <w:p w:rsidR="00C5002D" w:rsidP="00C5002D" w:rsidRDefault="00C5002D" w14:paraId="750DBACF" w14:textId="77777777">
      <w:r>
        <w:t xml:space="preserve">These high-diversity, predominately deciduous forests occur on deep and enriched soils (in some cases due to, or enhanced by, the presence of limestone or related base-rich geology), in non-montane settings and usually in somewhat protected landscape positions such as coves or lower slopes. This system is found in southern Ridge and Valley and portions of the Interior Low Plateau where it is located entirely south of the glacial boundary. Dominant species include </w:t>
      </w:r>
      <w:r w:rsidRPr="003E609C">
        <w:rPr>
          <w:i/>
        </w:rPr>
        <w:t xml:space="preserve">Acer </w:t>
      </w:r>
      <w:proofErr w:type="spellStart"/>
      <w:r w:rsidRPr="003E609C">
        <w:rPr>
          <w:i/>
        </w:rPr>
        <w:t>saccharum</w:t>
      </w:r>
      <w:proofErr w:type="spellEnd"/>
      <w:r w:rsidRPr="003E609C">
        <w:rPr>
          <w:i/>
        </w:rPr>
        <w:t xml:space="preserve">, Fagus </w:t>
      </w:r>
      <w:proofErr w:type="spellStart"/>
      <w:r w:rsidRPr="003E609C">
        <w:rPr>
          <w:i/>
        </w:rPr>
        <w:t>grandifolia</w:t>
      </w:r>
      <w:proofErr w:type="spellEnd"/>
      <w:r w:rsidRPr="003E609C">
        <w:rPr>
          <w:i/>
        </w:rPr>
        <w:t xml:space="preserve">, Liriodendron </w:t>
      </w:r>
      <w:proofErr w:type="spellStart"/>
      <w:r w:rsidRPr="003E609C">
        <w:rPr>
          <w:i/>
        </w:rPr>
        <w:t>tulipifera</w:t>
      </w:r>
      <w:proofErr w:type="spellEnd"/>
      <w:r w:rsidRPr="003E609C">
        <w:rPr>
          <w:i/>
        </w:rPr>
        <w:t xml:space="preserve">, </w:t>
      </w:r>
      <w:proofErr w:type="spellStart"/>
      <w:r w:rsidRPr="003E609C">
        <w:rPr>
          <w:i/>
        </w:rPr>
        <w:t>Aesculus</w:t>
      </w:r>
      <w:proofErr w:type="spellEnd"/>
      <w:r w:rsidRPr="003E609C">
        <w:rPr>
          <w:i/>
        </w:rPr>
        <w:t xml:space="preserve"> </w:t>
      </w:r>
      <w:proofErr w:type="spellStart"/>
      <w:r w:rsidRPr="003E609C">
        <w:rPr>
          <w:i/>
        </w:rPr>
        <w:t>glabra</w:t>
      </w:r>
      <w:proofErr w:type="spellEnd"/>
      <w:r w:rsidRPr="003E609C">
        <w:rPr>
          <w:i/>
        </w:rPr>
        <w:t xml:space="preserve">, Quercus </w:t>
      </w:r>
      <w:proofErr w:type="spellStart"/>
      <w:r w:rsidRPr="003E609C">
        <w:rPr>
          <w:i/>
        </w:rPr>
        <w:t>rubra</w:t>
      </w:r>
      <w:proofErr w:type="spellEnd"/>
      <w:r w:rsidRPr="003E609C">
        <w:rPr>
          <w:i/>
        </w:rPr>
        <w:t xml:space="preserve">, Acer </w:t>
      </w:r>
      <w:proofErr w:type="spellStart"/>
      <w:r w:rsidRPr="003E609C">
        <w:rPr>
          <w:i/>
        </w:rPr>
        <w:t>negundo</w:t>
      </w:r>
      <w:proofErr w:type="spellEnd"/>
      <w:r w:rsidRPr="003E609C">
        <w:rPr>
          <w:i/>
        </w:rPr>
        <w:t>,</w:t>
      </w:r>
      <w:r>
        <w:t xml:space="preserve"> and </w:t>
      </w:r>
      <w:r w:rsidRPr="003E609C">
        <w:rPr>
          <w:i/>
        </w:rPr>
        <w:t xml:space="preserve">Juglans </w:t>
      </w:r>
      <w:proofErr w:type="spellStart"/>
      <w:r w:rsidRPr="003E609C">
        <w:rPr>
          <w:i/>
        </w:rPr>
        <w:t>nigra</w:t>
      </w:r>
      <w:proofErr w:type="spellEnd"/>
      <w:r w:rsidRPr="003E609C">
        <w:rPr>
          <w:i/>
        </w:rPr>
        <w:t xml:space="preserve">. </w:t>
      </w:r>
      <w:proofErr w:type="spellStart"/>
      <w:r w:rsidRPr="003E609C">
        <w:rPr>
          <w:i/>
        </w:rPr>
        <w:t>Tsuga</w:t>
      </w:r>
      <w:proofErr w:type="spellEnd"/>
      <w:r w:rsidRPr="003E609C">
        <w:rPr>
          <w:i/>
        </w:rPr>
        <w:t xml:space="preserve"> canadensis</w:t>
      </w:r>
      <w:r>
        <w:t xml:space="preserve"> may be a component of some stands. Trees may grow very large in undisturbed areas. The herb layer is very rich, often with abundant spring ephemerals.</w:t>
      </w:r>
    </w:p>
    <w:p w:rsidR="00C5002D" w:rsidP="00C5002D" w:rsidRDefault="00C5002D" w14:paraId="2AC4A09F" w14:textId="77777777">
      <w:pPr>
        <w:pStyle w:val="InfoPara"/>
      </w:pPr>
      <w:r>
        <w:t>Vegetation Description</w:t>
      </w:r>
    </w:p>
    <w:p w:rsidR="00C5002D" w:rsidP="00C5002D" w:rsidRDefault="00C5002D" w14:paraId="5452AC55" w14:textId="77777777">
      <w:r>
        <w:t>A diverse closed-canopy forest with dominant species including: beech (</w:t>
      </w:r>
      <w:r w:rsidRPr="003E609C">
        <w:rPr>
          <w:i/>
        </w:rPr>
        <w:t xml:space="preserve">Fagus </w:t>
      </w:r>
      <w:proofErr w:type="spellStart"/>
      <w:r w:rsidRPr="003E609C">
        <w:rPr>
          <w:i/>
        </w:rPr>
        <w:t>grandifolia</w:t>
      </w:r>
      <w:proofErr w:type="spellEnd"/>
      <w:r>
        <w:t>), tulip-poplar (</w:t>
      </w:r>
      <w:r w:rsidRPr="003E609C">
        <w:rPr>
          <w:i/>
        </w:rPr>
        <w:t xml:space="preserve">Liriodendron </w:t>
      </w:r>
      <w:proofErr w:type="spellStart"/>
      <w:r w:rsidRPr="003E609C">
        <w:rPr>
          <w:i/>
        </w:rPr>
        <w:t>tulipifera</w:t>
      </w:r>
      <w:proofErr w:type="spellEnd"/>
      <w:r>
        <w:t>), American basswood (</w:t>
      </w:r>
      <w:proofErr w:type="spellStart"/>
      <w:r w:rsidRPr="003E609C">
        <w:rPr>
          <w:i/>
        </w:rPr>
        <w:t>Tilia</w:t>
      </w:r>
      <w:proofErr w:type="spellEnd"/>
      <w:r w:rsidRPr="003E609C">
        <w:rPr>
          <w:i/>
        </w:rPr>
        <w:t xml:space="preserve"> </w:t>
      </w:r>
      <w:proofErr w:type="spellStart"/>
      <w:r w:rsidRPr="003E609C">
        <w:rPr>
          <w:i/>
        </w:rPr>
        <w:t>americana</w:t>
      </w:r>
      <w:proofErr w:type="spellEnd"/>
      <w:r w:rsidRPr="003E609C">
        <w:rPr>
          <w:i/>
        </w:rPr>
        <w:t xml:space="preserve"> </w:t>
      </w:r>
      <w:r>
        <w:t>var.</w:t>
      </w:r>
      <w:r w:rsidRPr="003E609C">
        <w:rPr>
          <w:i/>
        </w:rPr>
        <w:t xml:space="preserve"> </w:t>
      </w:r>
      <w:proofErr w:type="spellStart"/>
      <w:r w:rsidRPr="003E609C">
        <w:rPr>
          <w:i/>
        </w:rPr>
        <w:t>heterophylla</w:t>
      </w:r>
      <w:proofErr w:type="spellEnd"/>
      <w:r>
        <w:t>), sugar maple (</w:t>
      </w:r>
      <w:r w:rsidRPr="003E609C">
        <w:rPr>
          <w:i/>
        </w:rPr>
        <w:t xml:space="preserve">Acer </w:t>
      </w:r>
      <w:proofErr w:type="spellStart"/>
      <w:r w:rsidRPr="003E609C">
        <w:rPr>
          <w:i/>
        </w:rPr>
        <w:t>saccharum</w:t>
      </w:r>
      <w:proofErr w:type="spellEnd"/>
      <w:r>
        <w:t>), yellow buckeye (</w:t>
      </w:r>
      <w:proofErr w:type="spellStart"/>
      <w:r w:rsidRPr="003E609C">
        <w:rPr>
          <w:i/>
        </w:rPr>
        <w:t>Aesculus</w:t>
      </w:r>
      <w:proofErr w:type="spellEnd"/>
      <w:r w:rsidRPr="003E609C">
        <w:rPr>
          <w:i/>
        </w:rPr>
        <w:t xml:space="preserve"> flava</w:t>
      </w:r>
      <w:r>
        <w:t xml:space="preserve">), </w:t>
      </w:r>
      <w:r w:rsidRPr="003E609C">
        <w:rPr>
          <w:i/>
        </w:rPr>
        <w:t xml:space="preserve">Magnolia </w:t>
      </w:r>
      <w:proofErr w:type="spellStart"/>
      <w:r w:rsidRPr="003E609C">
        <w:rPr>
          <w:i/>
        </w:rPr>
        <w:t>acuminata</w:t>
      </w:r>
      <w:proofErr w:type="spellEnd"/>
      <w:r>
        <w:t xml:space="preserve">, and </w:t>
      </w:r>
      <w:r w:rsidRPr="003E609C">
        <w:rPr>
          <w:i/>
        </w:rPr>
        <w:t xml:space="preserve">Juglans </w:t>
      </w:r>
      <w:proofErr w:type="spellStart"/>
      <w:r w:rsidRPr="003E609C">
        <w:rPr>
          <w:i/>
        </w:rPr>
        <w:t>nigra</w:t>
      </w:r>
      <w:proofErr w:type="spellEnd"/>
      <w:r>
        <w:t>, red oak (</w:t>
      </w:r>
      <w:r w:rsidRPr="003E609C">
        <w:rPr>
          <w:i/>
        </w:rPr>
        <w:t xml:space="preserve">Quercus </w:t>
      </w:r>
      <w:proofErr w:type="spellStart"/>
      <w:r w:rsidRPr="003E609C">
        <w:rPr>
          <w:i/>
        </w:rPr>
        <w:t>rubra</w:t>
      </w:r>
      <w:proofErr w:type="spellEnd"/>
      <w:r>
        <w:t>), white oak (</w:t>
      </w:r>
      <w:r w:rsidRPr="003E609C">
        <w:rPr>
          <w:i/>
        </w:rPr>
        <w:t>Q. alba</w:t>
      </w:r>
      <w:r>
        <w:t>) and formerly American chestnut (</w:t>
      </w:r>
      <w:proofErr w:type="spellStart"/>
      <w:r w:rsidRPr="003E609C">
        <w:rPr>
          <w:i/>
        </w:rPr>
        <w:t>Castanea</w:t>
      </w:r>
      <w:proofErr w:type="spellEnd"/>
      <w:r w:rsidRPr="003E609C">
        <w:rPr>
          <w:i/>
        </w:rPr>
        <w:t xml:space="preserve"> dentata</w:t>
      </w:r>
      <w:r>
        <w:t>) (Braun 1950</w:t>
      </w:r>
      <w:r w:rsidR="0097772F">
        <w:t>,</w:t>
      </w:r>
      <w:r>
        <w:t xml:space="preserve"> Muller 1982). The oak component tends to grade from white oaks in the southern areas to red and black oaks in the northern geographic range of this forest type. </w:t>
      </w:r>
      <w:proofErr w:type="spellStart"/>
      <w:r w:rsidRPr="003E609C">
        <w:rPr>
          <w:i/>
        </w:rPr>
        <w:t>Tsuga</w:t>
      </w:r>
      <w:proofErr w:type="spellEnd"/>
      <w:r w:rsidRPr="003E609C">
        <w:rPr>
          <w:i/>
        </w:rPr>
        <w:t xml:space="preserve"> canadensis</w:t>
      </w:r>
      <w:r>
        <w:t xml:space="preserve"> may be a minor component of some stands. Trees may grow very large in undisturbed areas. In the northern areas, both white (</w:t>
      </w:r>
      <w:proofErr w:type="spellStart"/>
      <w:r w:rsidRPr="003E609C">
        <w:rPr>
          <w:i/>
        </w:rPr>
        <w:t>Fraxinus</w:t>
      </w:r>
      <w:proofErr w:type="spellEnd"/>
      <w:r w:rsidRPr="003E609C">
        <w:rPr>
          <w:i/>
        </w:rPr>
        <w:t xml:space="preserve"> </w:t>
      </w:r>
      <w:proofErr w:type="spellStart"/>
      <w:r w:rsidRPr="003E609C">
        <w:rPr>
          <w:i/>
        </w:rPr>
        <w:t>americana</w:t>
      </w:r>
      <w:proofErr w:type="spellEnd"/>
      <w:r>
        <w:t>) and green ash (</w:t>
      </w:r>
      <w:proofErr w:type="spellStart"/>
      <w:r w:rsidRPr="003E609C">
        <w:rPr>
          <w:i/>
        </w:rPr>
        <w:t>Fraxinus</w:t>
      </w:r>
      <w:proofErr w:type="spellEnd"/>
      <w:r w:rsidRPr="003E609C">
        <w:rPr>
          <w:i/>
        </w:rPr>
        <w:t xml:space="preserve"> </w:t>
      </w:r>
      <w:proofErr w:type="spellStart"/>
      <w:r w:rsidRPr="003E609C">
        <w:rPr>
          <w:i/>
        </w:rPr>
        <w:t>pennsylvanica</w:t>
      </w:r>
      <w:proofErr w:type="spellEnd"/>
      <w:r>
        <w:t xml:space="preserve">) can be up to 10-15% of forest type (C. Emanuel, personal </w:t>
      </w:r>
      <w:r>
        <w:lastRenderedPageBreak/>
        <w:t>communication). This forest type developed primarily on mesic, sheltered landscapes positions (e.g</w:t>
      </w:r>
      <w:r w:rsidR="007967F4">
        <w:t>.,</w:t>
      </w:r>
      <w:r>
        <w:t xml:space="preserve"> lower slopes, coves, ravines) but also occurred on some dry-mesic slopes, where presumably fire was infrequent (Wade et al. 2000).</w:t>
      </w:r>
    </w:p>
    <w:p w:rsidR="00C5002D" w:rsidP="00C5002D" w:rsidRDefault="00C5002D" w14:paraId="02AA180B" w14:textId="77777777">
      <w:pPr>
        <w:pStyle w:val="InfoPara"/>
      </w:pPr>
      <w:r>
        <w:t>BpS Dominant and Indicator Species</w:t>
      </w:r>
    </w:p>
    <w:p>
      <w:r>
        <w:rPr>
          <w:sz w:val="16"/>
        </w:rPr>
        <w:t>Species names are from the NRCS PLANTS database. Check species codes at http://plants.usda.gov.</w:t>
      </w:r>
    </w:p>
    <w:p w:rsidR="00C5002D" w:rsidP="00C5002D" w:rsidRDefault="00C5002D" w14:paraId="1F769B7C" w14:textId="77777777">
      <w:pPr>
        <w:pStyle w:val="InfoPara"/>
      </w:pPr>
      <w:r>
        <w:t>Disturbance Description</w:t>
      </w:r>
    </w:p>
    <w:p w:rsidR="00C5002D" w:rsidP="00C5002D" w:rsidRDefault="00C5002D" w14:paraId="2437ACBB" w14:textId="07541C41">
      <w:r>
        <w:t>The interior-mesophytic forest type is fire regime class III, surface fires with return intervals 50</w:t>
      </w:r>
      <w:r w:rsidR="007967F4">
        <w:t>-</w:t>
      </w:r>
      <w:r>
        <w:t xml:space="preserve">200yrs+. Mixed severity fires will occur approximately every 500yrs opening the canopy with increased mortality. This effect may also be achieved by recurrent, severe insect defoliations or droughts. Straight-line winds or microbursts may cause blow-downs on a scale of </w:t>
      </w:r>
      <w:r w:rsidR="007967F4">
        <w:t>1</w:t>
      </w:r>
      <w:r w:rsidR="003E609C">
        <w:t>-</w:t>
      </w:r>
      <w:r w:rsidR="0097772F">
        <w:t>100ac</w:t>
      </w:r>
      <w:r>
        <w:t>. Due to the mesic nature of these forests, stand replacement fires happen very infrequently. Ice storm damage is a more common disturbance than fire in this system, and yet ice storm frequency directly feeds into fuel loading at these sites. Decay is the main consumer of downed fuels in these moist settings. The oaks found within this forest type are susceptible to Gypsy Moth, but these effects are not included in this model since it is a recent invasive. Another prominent current issue is Oak Decline, but its impact on reference conditions is not known.</w:t>
      </w:r>
    </w:p>
    <w:p w:rsidR="00C5002D" w:rsidP="00C5002D" w:rsidRDefault="00C5002D" w14:paraId="06EA3CC2"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5002D" w:rsidP="00C5002D" w:rsidRDefault="00C5002D" w14:paraId="0865BED2" w14:textId="77777777">
      <w:pPr>
        <w:pStyle w:val="InfoPara"/>
      </w:pPr>
      <w:r>
        <w:t>Scale Description</w:t>
      </w:r>
    </w:p>
    <w:p w:rsidR="00C5002D" w:rsidP="00C5002D" w:rsidRDefault="00C5002D" w14:paraId="425627CD" w14:textId="77777777">
      <w:r>
        <w:t>Mixed-mesophytic forest occur more continuously on north and east</w:t>
      </w:r>
      <w:r w:rsidR="007967F4">
        <w:t xml:space="preserve"> </w:t>
      </w:r>
      <w:r>
        <w:t>facing toe slopes, and interfinger with oak-hickory on side slopes up to the northern hardwood zone and higher elevations.</w:t>
      </w:r>
    </w:p>
    <w:p w:rsidR="00C5002D" w:rsidP="00C5002D" w:rsidRDefault="00C5002D" w14:paraId="7FA8E7A2" w14:textId="77777777">
      <w:pPr>
        <w:pStyle w:val="InfoPara"/>
      </w:pPr>
      <w:r>
        <w:t>Adjacency or Identification Concerns</w:t>
      </w:r>
    </w:p>
    <w:p w:rsidR="00C5002D" w:rsidP="00C5002D" w:rsidRDefault="00C5002D" w14:paraId="0DCB350E" w14:textId="77777777">
      <w:r>
        <w:t>Mapping mixed mesophytic forests would likely focus on specific topographic positions, such as coves, valley bottoms typically v-shaped (excluding broad u-shaped floodplains), lower north and east</w:t>
      </w:r>
      <w:r w:rsidR="007967F4">
        <w:t xml:space="preserve"> </w:t>
      </w:r>
      <w:r>
        <w:t xml:space="preserve">facing slopes; sometimes west and south facing lower slopes where moisture permits; wet-mesic to mesic conditions on the landscape; rich fertile conditions/sites; shaded topographic positions (Nowacki personal communication). On side slopes, mixed mesophytic forest </w:t>
      </w:r>
      <w:proofErr w:type="spellStart"/>
      <w:r>
        <w:lastRenderedPageBreak/>
        <w:t>interbraid</w:t>
      </w:r>
      <w:proofErr w:type="spellEnd"/>
      <w:r>
        <w:t xml:space="preserve"> with oak-hickory forests, with mixed-mesophytic occurring in v-notches and coves (drainages) and oak-hickory on interfluves.</w:t>
      </w:r>
    </w:p>
    <w:p w:rsidR="00C5002D" w:rsidP="00C5002D" w:rsidRDefault="00C5002D" w14:paraId="47BF0FA9" w14:textId="77777777"/>
    <w:p w:rsidR="00C5002D" w:rsidP="00C5002D" w:rsidRDefault="00C5002D" w14:paraId="07C89B5E" w14:textId="49DD1C2A">
      <w:r>
        <w:t xml:space="preserve">Uncharacteristic types (structure/composition/etc.) that may frequently occur today in this </w:t>
      </w:r>
      <w:r w:rsidR="003E609C">
        <w:t>Biophysical Setting (</w:t>
      </w:r>
      <w:r>
        <w:t>BpS</w:t>
      </w:r>
      <w:r w:rsidR="003E609C">
        <w:t>)</w:t>
      </w:r>
      <w:r>
        <w:t xml:space="preserve"> include: non-native invasive species (plants, animals, insects, pathogens, etc.), deer herbivory (limiting species composition and structure), and perhaps rarely historical fire suppression.</w:t>
      </w:r>
    </w:p>
    <w:p w:rsidR="00C5002D" w:rsidP="00C5002D" w:rsidRDefault="00C5002D" w14:paraId="35FD17E0" w14:textId="77777777"/>
    <w:p w:rsidR="00C5002D" w:rsidP="00C5002D" w:rsidRDefault="00C5002D" w14:paraId="4989C517" w14:textId="02438918">
      <w:r>
        <w:t>This forest type grades into Northeastern Interior Dry-Mesic Oak Forest (1303)</w:t>
      </w:r>
      <w:r w:rsidR="003E609C">
        <w:t>, wh</w:t>
      </w:r>
      <w:r>
        <w:t>ere this forest type grades into northern sites when soils are sometimes drier (shallower soils, sandier parent material), and as elevation is increased.</w:t>
      </w:r>
    </w:p>
    <w:p w:rsidR="00C5002D" w:rsidP="00C5002D" w:rsidRDefault="00C5002D" w14:paraId="455ADF98" w14:textId="77777777">
      <w:pPr>
        <w:pStyle w:val="InfoPara"/>
      </w:pPr>
      <w:r>
        <w:t>Issues or Problems</w:t>
      </w:r>
    </w:p>
    <w:p w:rsidR="00C5002D" w:rsidP="00C5002D" w:rsidRDefault="00C5002D" w14:paraId="4A4094B2" w14:textId="372B490D">
      <w:r>
        <w:t xml:space="preserve">Though </w:t>
      </w:r>
      <w:proofErr w:type="spellStart"/>
      <w:r>
        <w:t>Küchler</w:t>
      </w:r>
      <w:proofErr w:type="spellEnd"/>
      <w:r>
        <w:t xml:space="preserve"> (1964) mapped and described this region as mixed-mesophytic, witness tree data (from early land surveys) and studies of old-growth forests suggest that mixed-oak forests were more abundant than mixed-mesophytic forests in many areas prior to European settlement (</w:t>
      </w:r>
      <w:proofErr w:type="spellStart"/>
      <w:r>
        <w:t>Beatley</w:t>
      </w:r>
      <w:proofErr w:type="spellEnd"/>
      <w:r>
        <w:t xml:space="preserve"> 1959</w:t>
      </w:r>
      <w:r w:rsidR="0097772F">
        <w:t>,</w:t>
      </w:r>
      <w:r>
        <w:t xml:space="preserve"> McCarthy et al. 1987</w:t>
      </w:r>
      <w:r w:rsidR="0097772F">
        <w:t>,</w:t>
      </w:r>
      <w:r>
        <w:t xml:space="preserve"> Abrams et al. 1995</w:t>
      </w:r>
      <w:r w:rsidR="0097772F">
        <w:t>,</w:t>
      </w:r>
      <w:r>
        <w:t xml:space="preserve"> Dyer 2001</w:t>
      </w:r>
      <w:r w:rsidR="0097772F">
        <w:t>,</w:t>
      </w:r>
      <w:r>
        <w:t xml:space="preserve"> McCarthy et al. 2001</w:t>
      </w:r>
      <w:r w:rsidR="0097772F">
        <w:t>,</w:t>
      </w:r>
      <w:r>
        <w:t xml:space="preserve"> </w:t>
      </w:r>
      <w:proofErr w:type="spellStart"/>
      <w:r>
        <w:t>Rentch</w:t>
      </w:r>
      <w:proofErr w:type="spellEnd"/>
      <w:r>
        <w:t xml:space="preserve"> et al. 2003). Delineating the potential boundaries of </w:t>
      </w:r>
      <w:r w:rsidR="003E609C">
        <w:t>"</w:t>
      </w:r>
      <w:r>
        <w:t>mixed-mesophytic</w:t>
      </w:r>
      <w:r w:rsidR="003E609C">
        <w:t>"</w:t>
      </w:r>
      <w:r>
        <w:t xml:space="preserve"> forest type today should recognize that this boundary is influenced by human management interactions: historic logging and high-grading, the absence of fire, deer populations (herbivory), and non-native invasive species (plants, animals, insects and disease). The result is that mesophytic species may have invaded oak-hickory-savanna habitats particular</w:t>
      </w:r>
      <w:r w:rsidR="003E609C">
        <w:t>l</w:t>
      </w:r>
      <w:r>
        <w:t>y where fire suppression has dominated.</w:t>
      </w:r>
    </w:p>
    <w:p w:rsidR="00C5002D" w:rsidP="00C5002D" w:rsidRDefault="00C5002D" w14:paraId="2A955FA2" w14:textId="77777777">
      <w:pPr>
        <w:pStyle w:val="InfoPara"/>
      </w:pPr>
      <w:r>
        <w:t>Native Uncharacteristic Conditions</w:t>
      </w:r>
    </w:p>
    <w:p w:rsidR="00C5002D" w:rsidP="00C5002D" w:rsidRDefault="00C5002D" w14:paraId="3F82A411" w14:textId="77777777">
      <w:r>
        <w:t>Tree of Heaven (</w:t>
      </w:r>
      <w:r w:rsidRPr="003E609C">
        <w:rPr>
          <w:i/>
        </w:rPr>
        <w:t xml:space="preserve">Ailanthus </w:t>
      </w:r>
      <w:proofErr w:type="spellStart"/>
      <w:r w:rsidRPr="003E609C">
        <w:rPr>
          <w:i/>
        </w:rPr>
        <w:t>altissima</w:t>
      </w:r>
      <w:proofErr w:type="spellEnd"/>
      <w:r>
        <w:t xml:space="preserve">) is a significant invader in these sites, due to its ability to persist in fairly intact canopy as well as its </w:t>
      </w:r>
      <w:proofErr w:type="gramStart"/>
      <w:r>
        <w:t>high water</w:t>
      </w:r>
      <w:proofErr w:type="gramEnd"/>
      <w:r>
        <w:t xml:space="preserve"> demand (K</w:t>
      </w:r>
      <w:r w:rsidR="0097772F">
        <w:t>.</w:t>
      </w:r>
      <w:r>
        <w:t xml:space="preserve"> Brown, personal communication).</w:t>
      </w:r>
    </w:p>
    <w:p w:rsidR="00C5002D" w:rsidP="00C5002D" w:rsidRDefault="00C5002D" w14:paraId="11DCEE54" w14:textId="77777777">
      <w:pPr>
        <w:pStyle w:val="InfoPara"/>
      </w:pPr>
      <w:r>
        <w:t>Comments</w:t>
      </w:r>
    </w:p>
    <w:p w:rsidR="00AA0C00" w:rsidP="00AA0C00" w:rsidRDefault="00AA0C00" w14:paraId="63AFD14C" w14:textId="77777777">
      <w:pPr>
        <w:rPr>
          <w:b/>
        </w:rPr>
      </w:pPr>
    </w:p>
    <w:p w:rsidR="00C5002D" w:rsidP="00C5002D" w:rsidRDefault="00D610D7" w14:paraId="3B2F3982" w14:textId="74D9268F">
      <w:pPr>
        <w:pStyle w:val="ReportSection"/>
      </w:pPr>
      <w:r>
        <w:t>S</w:t>
      </w:r>
      <w:r w:rsidR="00C5002D">
        <w:t>uccession Classes</w:t>
      </w:r>
    </w:p>
    <w:p w:rsidR="00C5002D" w:rsidP="00C5002D" w:rsidRDefault="00C5002D" w14:paraId="1DBDF65D"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5002D" w:rsidP="00C5002D" w:rsidRDefault="00C5002D" w14:paraId="1BA101DD" w14:textId="77777777">
      <w:pPr>
        <w:pStyle w:val="InfoPara"/>
        <w:pBdr>
          <w:top w:val="single" w:color="auto" w:sz="4" w:space="1"/>
        </w:pBdr>
      </w:pPr>
      <w:r>
        <w:t>Class A</w:t>
      </w:r>
      <w:r>
        <w:tab/>
        <w:t>2</w:t>
      </w:r>
      <w:r w:rsidR="002A3B10">
        <w:tab/>
      </w:r>
      <w:r w:rsidR="002A3B10">
        <w:tab/>
      </w:r>
      <w:r w:rsidR="002A3B10">
        <w:tab/>
      </w:r>
      <w:r w:rsidR="002A3B10">
        <w:tab/>
      </w:r>
      <w:r w:rsidR="004F7795">
        <w:t>Early Development 1 - All Structures</w:t>
      </w:r>
    </w:p>
    <w:p w:rsidR="00C5002D" w:rsidP="00C5002D" w:rsidRDefault="00C5002D" w14:paraId="140A78E6" w14:textId="77777777"/>
    <w:p w:rsidR="00C5002D" w:rsidP="00C5002D" w:rsidRDefault="00C5002D" w14:paraId="70CCC62D" w14:textId="77777777">
      <w:pPr>
        <w:pStyle w:val="SClassInfoPara"/>
      </w:pPr>
      <w:r>
        <w:t>Indicator Species</w:t>
      </w:r>
    </w:p>
    <w:p w:rsidR="00C5002D" w:rsidP="00C5002D" w:rsidRDefault="00C5002D" w14:paraId="203E3CFC" w14:textId="77777777"/>
    <w:p w:rsidR="00C5002D" w:rsidP="00C5002D" w:rsidRDefault="00C5002D" w14:paraId="0EB664E5" w14:textId="77777777">
      <w:pPr>
        <w:pStyle w:val="SClassInfoPara"/>
      </w:pPr>
      <w:r>
        <w:lastRenderedPageBreak/>
        <w:t>Description</w:t>
      </w:r>
    </w:p>
    <w:p w:rsidR="00C5002D" w:rsidP="00C5002D" w:rsidRDefault="00C5002D" w14:paraId="06495466" w14:textId="3355FCE2">
      <w:r>
        <w:t>Reg</w:t>
      </w:r>
      <w:r w:rsidR="00D610D7">
        <w:t xml:space="preserve">enerating stands </w:t>
      </w:r>
      <w:r>
        <w:t xml:space="preserve">established after catastrophic disturbance, primarily wind and ice storms and infrequently by fire. Tree regeneration unfolds from a combination of stump and root sprouts and the seedbank. This short-lived stage exists until canopy closure occurs and resource competition for growing space begins. This also includes tree gap dynamics. </w:t>
      </w:r>
    </w:p>
    <w:p w:rsidR="00C5002D" w:rsidP="00C5002D" w:rsidRDefault="00C5002D" w14:paraId="4637912A" w14:textId="77777777"/>
    <w:p>
      <w:r>
        <w:rPr>
          <w:i/>
          <w:u w:val="single"/>
        </w:rPr>
        <w:t>Maximum Tree Size Class</w:t>
      </w:r>
      <w:br/>
      <w:r>
        <w:t>Sapling &gt;4.5ft; &lt;5"DBH</w:t>
      </w:r>
    </w:p>
    <w:p w:rsidR="00C5002D" w:rsidP="00C5002D" w:rsidRDefault="00C5002D" w14:paraId="5CC8D65E" w14:textId="77777777">
      <w:pPr>
        <w:pStyle w:val="InfoPara"/>
        <w:pBdr>
          <w:top w:val="single" w:color="auto" w:sz="4" w:space="1"/>
        </w:pBdr>
      </w:pPr>
      <w:r>
        <w:t>Class B</w:t>
      </w:r>
      <w:r>
        <w:tab/>
        <w:t>11</w:t>
      </w:r>
      <w:r w:rsidR="002A3B10">
        <w:tab/>
      </w:r>
      <w:r w:rsidR="002A3B10">
        <w:tab/>
      </w:r>
      <w:r w:rsidR="002A3B10">
        <w:tab/>
      </w:r>
      <w:r w:rsidR="002A3B10">
        <w:tab/>
      </w:r>
      <w:r w:rsidR="004F7795">
        <w:t>Mid Development 1 - Closed</w:t>
      </w:r>
    </w:p>
    <w:p w:rsidR="00C5002D" w:rsidP="00C5002D" w:rsidRDefault="00C5002D" w14:paraId="60BFA57D" w14:textId="77777777"/>
    <w:p w:rsidR="00C5002D" w:rsidP="00C5002D" w:rsidRDefault="00C5002D" w14:paraId="333CA114" w14:textId="77777777">
      <w:pPr>
        <w:pStyle w:val="SClassInfoPara"/>
      </w:pPr>
      <w:r>
        <w:t>Indicator Species</w:t>
      </w:r>
    </w:p>
    <w:p w:rsidR="00C5002D" w:rsidP="00C5002D" w:rsidRDefault="00C5002D" w14:paraId="117B9B79" w14:textId="77777777"/>
    <w:p w:rsidR="00C5002D" w:rsidP="00C5002D" w:rsidRDefault="00C5002D" w14:paraId="4E081FB6" w14:textId="77777777">
      <w:pPr>
        <w:pStyle w:val="SClassInfoPara"/>
      </w:pPr>
      <w:r>
        <w:t>Description</w:t>
      </w:r>
    </w:p>
    <w:p w:rsidR="00C5002D" w:rsidP="00C5002D" w:rsidRDefault="00C5002D" w14:paraId="28B57025" w14:textId="129E5769">
      <w:r>
        <w:t xml:space="preserve">Mid-seral closed overstory; stem exclusion stage. Although canopy closure occurs at approximately </w:t>
      </w:r>
      <w:r w:rsidR="003E609C">
        <w:t>10yrs</w:t>
      </w:r>
      <w:r>
        <w:t xml:space="preserve"> of age, intense competition between canopy dominants begins after the stand is approximately 20yrs old. Large gaps are not common, as mortality from tree suppression tends to result from crown overtopping (not gap formation). Red oak is found as seedlings in the understory (and is found as a canopy dominant in later successional stages). These stands will remain in this self-thinning, closed canopy conditi</w:t>
      </w:r>
      <w:r w:rsidR="00D610D7">
        <w:t>on for many decades</w:t>
      </w:r>
      <w:r>
        <w:t xml:space="preserve">. </w:t>
      </w:r>
    </w:p>
    <w:p>
      <w:r>
        <w:rPr>
          <w:i/>
          <w:u w:val="single"/>
        </w:rPr>
        <w:t>Maximum Tree Size Class</w:t>
      </w:r>
      <w:br/>
      <w:r>
        <w:t>Medium 9-21"DBH</w:t>
      </w:r>
    </w:p>
    <w:p w:rsidR="00C5002D" w:rsidP="00C5002D" w:rsidRDefault="00C5002D" w14:paraId="539C0BEA" w14:textId="77777777">
      <w:pPr>
        <w:pStyle w:val="InfoPara"/>
        <w:pBdr>
          <w:top w:val="single" w:color="auto" w:sz="4" w:space="1"/>
        </w:pBdr>
      </w:pPr>
      <w:r>
        <w:t>Class C</w:t>
      </w:r>
      <w:r>
        <w:tab/>
        <w:t>32</w:t>
      </w:r>
      <w:r w:rsidR="002A3B10">
        <w:tab/>
      </w:r>
      <w:r w:rsidR="002A3B10">
        <w:tab/>
      </w:r>
      <w:r w:rsidR="002A3B10">
        <w:tab/>
      </w:r>
      <w:r w:rsidR="002A3B10">
        <w:tab/>
      </w:r>
      <w:r w:rsidR="004F7795">
        <w:t>Late Development 1 - Closed</w:t>
      </w:r>
    </w:p>
    <w:p w:rsidR="00C5002D" w:rsidP="00C5002D" w:rsidRDefault="00C5002D" w14:paraId="7CA1C90B" w14:textId="77777777"/>
    <w:p w:rsidR="00C5002D" w:rsidP="00C5002D" w:rsidRDefault="00C5002D" w14:paraId="65AA94CB" w14:textId="77777777">
      <w:pPr>
        <w:pStyle w:val="SClassInfoPara"/>
      </w:pPr>
      <w:r>
        <w:t>Indicator Species</w:t>
      </w:r>
    </w:p>
    <w:p w:rsidR="00C5002D" w:rsidP="00C5002D" w:rsidRDefault="00C5002D" w14:paraId="65863F24" w14:textId="77777777"/>
    <w:p w:rsidR="00C5002D" w:rsidP="00C5002D" w:rsidRDefault="00C5002D" w14:paraId="6A314475" w14:textId="77777777">
      <w:pPr>
        <w:pStyle w:val="SClassInfoPara"/>
      </w:pPr>
      <w:r>
        <w:t>Description</w:t>
      </w:r>
    </w:p>
    <w:p w:rsidR="00C5002D" w:rsidP="00C5002D" w:rsidRDefault="00C5002D" w14:paraId="7F1C2A6C" w14:textId="5F8C08E5">
      <w:r>
        <w:t xml:space="preserve">Closed-canopy, mature, mixed-mesophytic forests that develop on mesic landscape positions, on deep, rich soils, and the presence of limestone and/or base-rich geologic parent material. Dominant trees are 100yrs+ of age. Dominant species include </w:t>
      </w:r>
      <w:r w:rsidRPr="003E609C">
        <w:rPr>
          <w:i/>
        </w:rPr>
        <w:t xml:space="preserve">Fagus </w:t>
      </w:r>
      <w:proofErr w:type="spellStart"/>
      <w:r w:rsidRPr="003E609C">
        <w:rPr>
          <w:i/>
        </w:rPr>
        <w:t>grandifolia</w:t>
      </w:r>
      <w:proofErr w:type="spellEnd"/>
      <w:r w:rsidRPr="003E609C">
        <w:rPr>
          <w:i/>
        </w:rPr>
        <w:t xml:space="preserve">, Acer </w:t>
      </w:r>
      <w:proofErr w:type="spellStart"/>
      <w:r w:rsidRPr="003E609C">
        <w:rPr>
          <w:i/>
        </w:rPr>
        <w:t>saccharum</w:t>
      </w:r>
      <w:proofErr w:type="spellEnd"/>
      <w:r w:rsidRPr="003E609C">
        <w:rPr>
          <w:i/>
        </w:rPr>
        <w:t xml:space="preserve">, Liriodendron </w:t>
      </w:r>
      <w:proofErr w:type="spellStart"/>
      <w:r w:rsidRPr="003E609C">
        <w:rPr>
          <w:i/>
        </w:rPr>
        <w:t>tulipifera</w:t>
      </w:r>
      <w:proofErr w:type="spellEnd"/>
      <w:r w:rsidRPr="003E609C">
        <w:rPr>
          <w:i/>
        </w:rPr>
        <w:t xml:space="preserve">, Quercus </w:t>
      </w:r>
      <w:proofErr w:type="spellStart"/>
      <w:r w:rsidRPr="003E609C">
        <w:rPr>
          <w:i/>
        </w:rPr>
        <w:t>rubra</w:t>
      </w:r>
      <w:proofErr w:type="spellEnd"/>
      <w:r w:rsidR="003E609C">
        <w:rPr>
          <w:i/>
        </w:rPr>
        <w:t>;</w:t>
      </w:r>
      <w:r>
        <w:t xml:space="preserve"> also </w:t>
      </w:r>
      <w:proofErr w:type="spellStart"/>
      <w:r w:rsidRPr="003E609C">
        <w:rPr>
          <w:i/>
        </w:rPr>
        <w:t>Tilia</w:t>
      </w:r>
      <w:proofErr w:type="spellEnd"/>
      <w:r w:rsidRPr="003E609C">
        <w:rPr>
          <w:i/>
        </w:rPr>
        <w:t xml:space="preserve"> </w:t>
      </w:r>
      <w:proofErr w:type="spellStart"/>
      <w:r w:rsidRPr="003E609C">
        <w:rPr>
          <w:i/>
        </w:rPr>
        <w:t>americana</w:t>
      </w:r>
      <w:proofErr w:type="spellEnd"/>
      <w:r>
        <w:t xml:space="preserve"> </w:t>
      </w:r>
      <w:proofErr w:type="spellStart"/>
      <w:r>
        <w:t>va.</w:t>
      </w:r>
      <w:proofErr w:type="spellEnd"/>
      <w:r>
        <w:t xml:space="preserve"> </w:t>
      </w:r>
      <w:proofErr w:type="spellStart"/>
      <w:r w:rsidRPr="003E609C">
        <w:rPr>
          <w:i/>
        </w:rPr>
        <w:t>Heterophylla</w:t>
      </w:r>
      <w:proofErr w:type="spellEnd"/>
      <w:r>
        <w:t xml:space="preserve">, </w:t>
      </w:r>
      <w:proofErr w:type="spellStart"/>
      <w:r w:rsidRPr="003E609C">
        <w:rPr>
          <w:i/>
        </w:rPr>
        <w:t>Aesculus</w:t>
      </w:r>
      <w:proofErr w:type="spellEnd"/>
      <w:r w:rsidRPr="003E609C">
        <w:rPr>
          <w:i/>
        </w:rPr>
        <w:t xml:space="preserve"> flava, </w:t>
      </w:r>
      <w:proofErr w:type="spellStart"/>
      <w:r w:rsidRPr="003E609C">
        <w:rPr>
          <w:i/>
        </w:rPr>
        <w:t>Tsuga</w:t>
      </w:r>
      <w:proofErr w:type="spellEnd"/>
      <w:r w:rsidRPr="003E609C">
        <w:rPr>
          <w:i/>
        </w:rPr>
        <w:t xml:space="preserve"> canadensis</w:t>
      </w:r>
      <w:r>
        <w:t xml:space="preserve">. </w:t>
      </w:r>
    </w:p>
    <w:p w:rsidR="00C5002D" w:rsidP="00C5002D" w:rsidRDefault="00C5002D" w14:paraId="76945CFA" w14:textId="77777777"/>
    <w:p>
      <w:r>
        <w:rPr>
          <w:i/>
          <w:u w:val="single"/>
        </w:rPr>
        <w:t>Maximum Tree Size Class</w:t>
      </w:r>
      <w:br/>
      <w:r>
        <w:t>Large 21-33"DBH</w:t>
      </w:r>
    </w:p>
    <w:p w:rsidR="00C5002D" w:rsidP="00C5002D" w:rsidRDefault="00C5002D" w14:paraId="34BFEAD1" w14:textId="77777777">
      <w:pPr>
        <w:pStyle w:val="InfoPara"/>
        <w:pBdr>
          <w:top w:val="single" w:color="auto" w:sz="4" w:space="1"/>
        </w:pBdr>
      </w:pPr>
      <w:r>
        <w:t>Class D</w:t>
      </w:r>
      <w:r>
        <w:tab/>
        <w:t>55</w:t>
      </w:r>
      <w:r w:rsidR="002A3B10">
        <w:tab/>
      </w:r>
      <w:r w:rsidR="002A3B10">
        <w:tab/>
      </w:r>
      <w:r w:rsidR="002A3B10">
        <w:tab/>
      </w:r>
      <w:r w:rsidR="002A3B10">
        <w:tab/>
      </w:r>
      <w:r w:rsidR="004F7795">
        <w:t>Late Development 2 - Closed</w:t>
      </w:r>
    </w:p>
    <w:p w:rsidR="00C5002D" w:rsidP="00C5002D" w:rsidRDefault="00C5002D" w14:paraId="3DF766CD" w14:textId="77777777"/>
    <w:p w:rsidR="00C5002D" w:rsidP="00C5002D" w:rsidRDefault="00C5002D" w14:paraId="572FA70E" w14:textId="77777777">
      <w:pPr>
        <w:pStyle w:val="SClassInfoPara"/>
      </w:pPr>
      <w:r>
        <w:t>Indicator Species</w:t>
      </w:r>
    </w:p>
    <w:p w:rsidR="00C5002D" w:rsidP="00C5002D" w:rsidRDefault="00C5002D" w14:paraId="1CCE2CC9" w14:textId="77777777"/>
    <w:p w:rsidR="00C5002D" w:rsidP="00C5002D" w:rsidRDefault="00C5002D" w14:paraId="2C98CF79" w14:textId="77777777">
      <w:pPr>
        <w:pStyle w:val="SClassInfoPara"/>
      </w:pPr>
      <w:r>
        <w:t>Description</w:t>
      </w:r>
    </w:p>
    <w:p w:rsidR="00C5002D" w:rsidP="00C5002D" w:rsidRDefault="00C5002D" w14:paraId="7D5C0E20" w14:textId="3FB08B5B">
      <w:r>
        <w:t>Late s</w:t>
      </w:r>
      <w:r w:rsidR="00911E03">
        <w:t>uccessional stands,</w:t>
      </w:r>
      <w:r>
        <w:t xml:space="preserve"> which feature: some individual trees nearing maximum age and size for their species, multiple canopy strata, gaps, regeneration of multiple age and size classes, and coarse woody debris (standing and down) (Davis 1993). Dominant species: </w:t>
      </w:r>
      <w:r w:rsidRPr="003E609C">
        <w:rPr>
          <w:i/>
        </w:rPr>
        <w:t xml:space="preserve">Fagus </w:t>
      </w:r>
      <w:proofErr w:type="spellStart"/>
      <w:r w:rsidRPr="003E609C">
        <w:rPr>
          <w:i/>
        </w:rPr>
        <w:t>grandifolia</w:t>
      </w:r>
      <w:proofErr w:type="spellEnd"/>
      <w:r w:rsidRPr="003E609C">
        <w:rPr>
          <w:i/>
        </w:rPr>
        <w:t xml:space="preserve">, Acer </w:t>
      </w:r>
      <w:proofErr w:type="spellStart"/>
      <w:r w:rsidRPr="003E609C">
        <w:rPr>
          <w:i/>
        </w:rPr>
        <w:t>saccharum</w:t>
      </w:r>
      <w:proofErr w:type="spellEnd"/>
      <w:r w:rsidRPr="003E609C">
        <w:rPr>
          <w:i/>
        </w:rPr>
        <w:t xml:space="preserve">, Liriodendron </w:t>
      </w:r>
      <w:proofErr w:type="spellStart"/>
      <w:r w:rsidRPr="003E609C">
        <w:rPr>
          <w:i/>
        </w:rPr>
        <w:t>tulipifera</w:t>
      </w:r>
      <w:proofErr w:type="spellEnd"/>
      <w:r w:rsidRPr="003E609C">
        <w:rPr>
          <w:i/>
        </w:rPr>
        <w:t xml:space="preserve">, Quercus </w:t>
      </w:r>
      <w:proofErr w:type="spellStart"/>
      <w:r w:rsidRPr="003E609C">
        <w:rPr>
          <w:i/>
        </w:rPr>
        <w:t>rubra</w:t>
      </w:r>
      <w:proofErr w:type="spellEnd"/>
      <w:r>
        <w:t>. Fire is infrequent with low intensity (e.g</w:t>
      </w:r>
      <w:r w:rsidR="007967F4">
        <w:t>.,</w:t>
      </w:r>
      <w:r>
        <w:t xml:space="preserve"> surface fires during droughts). Canopy structure is maintained by wind, ice, insect and disease events</w:t>
      </w:r>
      <w:r w:rsidR="003E609C">
        <w:t>,</w:t>
      </w:r>
      <w:r>
        <w:t xml:space="preserve"> and the scale of disturbance is dominated by gap dynamics (Davis 1993).</w:t>
      </w:r>
    </w:p>
    <w:p w:rsidR="00C5002D" w:rsidP="00C5002D" w:rsidRDefault="00C5002D" w14:paraId="4F96D22B" w14:textId="77777777"/>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5002D" w:rsidP="00C5002D" w:rsidRDefault="00C5002D" w14:paraId="51BAACEB" w14:textId="77777777">
      <w:proofErr w:type="spellStart"/>
      <w:r>
        <w:t>Beatley</w:t>
      </w:r>
      <w:proofErr w:type="spellEnd"/>
      <w:r>
        <w:t>, J.C. 1959. The primeval forests of a periglacial area in the Allegheny Plateau (Vinton and Jackson Counties, Ohio). Bulletin of the Ohio Biological Survey 1:1-166.</w:t>
      </w:r>
    </w:p>
    <w:p w:rsidR="00C5002D" w:rsidP="00C5002D" w:rsidRDefault="00C5002D" w14:paraId="01889E26" w14:textId="77777777"/>
    <w:p w:rsidR="00C5002D" w:rsidP="00C5002D" w:rsidRDefault="00C5002D" w14:paraId="7127C50F" w14:textId="77777777">
      <w:r>
        <w:t xml:space="preserve">Braun, E.L. 1950. Deciduous forests of eastern North America. </w:t>
      </w:r>
      <w:proofErr w:type="spellStart"/>
      <w:r>
        <w:t>Blakiston</w:t>
      </w:r>
      <w:proofErr w:type="spellEnd"/>
      <w:r>
        <w:t xml:space="preserve"> Co., Philadelphia. </w:t>
      </w:r>
    </w:p>
    <w:p w:rsidR="00C5002D" w:rsidP="00C5002D" w:rsidRDefault="00C5002D" w14:paraId="1DBFC591" w14:textId="77777777"/>
    <w:p w:rsidR="00C5002D" w:rsidP="00C5002D" w:rsidRDefault="00C5002D" w14:paraId="610B0718" w14:textId="1A3E2A69">
      <w:r>
        <w:t xml:space="preserve">Brown, </w:t>
      </w:r>
      <w:r w:rsidR="007967F4">
        <w:t xml:space="preserve">James </w:t>
      </w:r>
      <w:r>
        <w:t xml:space="preserve">K. and </w:t>
      </w:r>
      <w:r w:rsidR="007967F4">
        <w:t>Jane</w:t>
      </w:r>
      <w:r>
        <w:t xml:space="preserve"> </w:t>
      </w:r>
      <w:proofErr w:type="spellStart"/>
      <w:r>
        <w:t>Kapler</w:t>
      </w:r>
      <w:proofErr w:type="spellEnd"/>
      <w:r w:rsidR="003E609C">
        <w:t>-</w:t>
      </w:r>
      <w:r>
        <w:t>Smith, eds. 2000. Wildland fire in ecosystems: effects of fire on flora. Gen. Tech. Rep. RMRS-GTR-42</w:t>
      </w:r>
      <w:r w:rsidR="007967F4">
        <w:t>-</w:t>
      </w:r>
      <w:r>
        <w:t>vol</w:t>
      </w:r>
      <w:r w:rsidR="007967F4">
        <w:t>.</w:t>
      </w:r>
      <w:r>
        <w:t>2. Ogden, UT</w:t>
      </w:r>
      <w:r w:rsidR="007967F4">
        <w:t>.</w:t>
      </w:r>
      <w:r>
        <w:t xml:space="preserve"> USDA Forest Service, Rocky Mountain Research Station. 257 pp.</w:t>
      </w:r>
    </w:p>
    <w:p w:rsidR="00C5002D" w:rsidP="00C5002D" w:rsidRDefault="00C5002D" w14:paraId="7F1BFF21" w14:textId="77777777"/>
    <w:p w:rsidR="00C5002D" w:rsidP="00C5002D" w:rsidRDefault="00C5002D" w14:paraId="701785E7" w14:textId="5DEDC33A">
      <w:r>
        <w:t xml:space="preserve">Davis, M.B., ed. 1993. Eastern Old-Growth Forests: Prospects </w:t>
      </w:r>
      <w:r w:rsidR="003E609C">
        <w:t>f</w:t>
      </w:r>
      <w:r w:rsidR="007967F4">
        <w:t>or</w:t>
      </w:r>
      <w:r>
        <w:t xml:space="preserve"> Rediscovery </w:t>
      </w:r>
      <w:proofErr w:type="gramStart"/>
      <w:r w:rsidR="007967F4">
        <w:t>And</w:t>
      </w:r>
      <w:proofErr w:type="gramEnd"/>
      <w:r>
        <w:t xml:space="preserve"> Recovery (Paperback) ISBN: 155963409X</w:t>
      </w:r>
      <w:r w:rsidR="007967F4">
        <w:t>.</w:t>
      </w:r>
    </w:p>
    <w:p w:rsidR="00C5002D" w:rsidP="00C5002D" w:rsidRDefault="00C5002D" w14:paraId="5178E4EE" w14:textId="77777777"/>
    <w:p w:rsidR="00C5002D" w:rsidP="00C5002D" w:rsidRDefault="00C5002D" w14:paraId="25F35B99" w14:textId="77777777">
      <w:proofErr w:type="spellStart"/>
      <w:r>
        <w:t>Delcourt</w:t>
      </w:r>
      <w:proofErr w:type="spellEnd"/>
      <w:r>
        <w:t xml:space="preserve">, P.A., H.R. </w:t>
      </w:r>
      <w:proofErr w:type="spellStart"/>
      <w:r>
        <w:t>Delcourt</w:t>
      </w:r>
      <w:proofErr w:type="spellEnd"/>
      <w:r>
        <w:t xml:space="preserve">, C.R. </w:t>
      </w:r>
      <w:proofErr w:type="spellStart"/>
      <w:r>
        <w:t>Ison</w:t>
      </w:r>
      <w:proofErr w:type="spellEnd"/>
      <w:r>
        <w:t xml:space="preserve">, W.E. Sharp and K.J. </w:t>
      </w:r>
      <w:proofErr w:type="spellStart"/>
      <w:r>
        <w:t>Gremillion</w:t>
      </w:r>
      <w:proofErr w:type="spellEnd"/>
      <w:r>
        <w:t xml:space="preserve">. 1998. Prehistoric human use of fire, the eastern agricultural complex and Appalachian oak-chestnut forests: paleoecology of Cliff Palace Pond, </w:t>
      </w:r>
      <w:r w:rsidR="0097772F">
        <w:t>Kentucky</w:t>
      </w:r>
      <w:r>
        <w:t>. American Antiquity 63:263-278.</w:t>
      </w:r>
    </w:p>
    <w:p w:rsidR="00C5002D" w:rsidP="00C5002D" w:rsidRDefault="00C5002D" w14:paraId="040DCDF5" w14:textId="77777777"/>
    <w:p w:rsidR="00C5002D" w:rsidP="00C5002D" w:rsidRDefault="00C5002D" w14:paraId="20A2ED86" w14:textId="77777777">
      <w:r>
        <w:t>Dyer, J.M. 2001. Using witness trees to assess forest change in southeastern Ohio. Canadian Journal of Forest Research 31:1708-1718.</w:t>
      </w:r>
    </w:p>
    <w:p w:rsidR="00C5002D" w:rsidP="00C5002D" w:rsidRDefault="00C5002D" w14:paraId="257EE607" w14:textId="77777777"/>
    <w:p w:rsidR="00C5002D" w:rsidP="00C5002D" w:rsidRDefault="00C5002D" w14:paraId="104B64CD" w14:textId="77777777">
      <w:r>
        <w:t xml:space="preserve">Frost, C.C. 1998. Presettlement fire frequency regimes of the United States: a first approximation. In: </w:t>
      </w:r>
      <w:r w:rsidR="007967F4">
        <w:t>Proceedings of the 20th Tall Timbers fire ecology conference--fire</w:t>
      </w:r>
      <w:r>
        <w:t xml:space="preserve"> in ecosystem management: shifting the paradigm from suppression to prescription. </w:t>
      </w:r>
      <w:proofErr w:type="spellStart"/>
      <w:r w:rsidR="007967F4">
        <w:t>Pruden</w:t>
      </w:r>
      <w:proofErr w:type="spellEnd"/>
      <w:r w:rsidR="007967F4">
        <w:t xml:space="preserve">, T.L. and L.A. Brennan. </w:t>
      </w:r>
      <w:r>
        <w:t>Tall Timbers Research Station, Tallahassee, FL</w:t>
      </w:r>
      <w:r w:rsidR="007967F4">
        <w:t>. 70-81</w:t>
      </w:r>
      <w:r>
        <w:t>.</w:t>
      </w:r>
    </w:p>
    <w:p w:rsidR="00C5002D" w:rsidP="00C5002D" w:rsidRDefault="00C5002D" w14:paraId="3766C02D" w14:textId="77777777"/>
    <w:p w:rsidR="00C5002D" w:rsidP="00C5002D" w:rsidRDefault="00C5002D" w14:paraId="7BE73E8F" w14:textId="77777777">
      <w:proofErr w:type="spellStart"/>
      <w:r>
        <w:lastRenderedPageBreak/>
        <w:t>Guyette</w:t>
      </w:r>
      <w:proofErr w:type="spellEnd"/>
      <w:r>
        <w:t xml:space="preserve">, R.P., D.C. </w:t>
      </w:r>
      <w:proofErr w:type="spellStart"/>
      <w:r>
        <w:t>Dey</w:t>
      </w:r>
      <w:proofErr w:type="spellEnd"/>
      <w:r>
        <w:t xml:space="preserve"> and M.C. Stambaugh. 2003. Fire and human history of a barren-forest mosaic in southern Indiana. American Midland Naturalist 149:21-34.</w:t>
      </w:r>
    </w:p>
    <w:p w:rsidR="00C5002D" w:rsidP="00C5002D" w:rsidRDefault="00C5002D" w14:paraId="7157E756" w14:textId="77777777"/>
    <w:p w:rsidR="00C5002D" w:rsidP="00C5002D" w:rsidRDefault="00C5002D" w14:paraId="5452C3F4" w14:textId="77777777">
      <w:r>
        <w:t>Hutchins, R.B., R.L. Blevins, J.D. Hill and E.H. White. 1976. The influence of soils and microclimate on vegetation of forested slopes in eastern Kentucky. Soil Science 121:234-241.</w:t>
      </w:r>
    </w:p>
    <w:p w:rsidR="00C5002D" w:rsidP="00C5002D" w:rsidRDefault="00C5002D" w14:paraId="06344F45" w14:textId="77777777"/>
    <w:p w:rsidR="00C5002D" w:rsidP="00C5002D" w:rsidRDefault="00C5002D" w14:paraId="1FD1C590" w14:textId="77777777">
      <w:r>
        <w:t xml:space="preserve">Iverson, L.R., M.E. Dale, </w:t>
      </w:r>
      <w:r w:rsidR="007967F4">
        <w:t xml:space="preserve">M.E., </w:t>
      </w:r>
      <w:r>
        <w:t>C.T. Scott and A. Prasad. 1997. A GIS-derived integrated moisture index to predict forest composition and productivity of Ohio forests</w:t>
      </w:r>
      <w:r w:rsidR="007967F4">
        <w:t xml:space="preserve"> (U.S.A.).</w:t>
      </w:r>
      <w:r w:rsidR="0097772F">
        <w:t xml:space="preserve"> </w:t>
      </w:r>
      <w:r>
        <w:t>Landscape Ecology 12:331-348.</w:t>
      </w:r>
    </w:p>
    <w:p w:rsidR="00C5002D" w:rsidP="00C5002D" w:rsidRDefault="00C5002D" w14:paraId="4D94E154" w14:textId="77777777"/>
    <w:p w:rsidR="00C5002D" w:rsidP="00C5002D" w:rsidRDefault="00C5002D" w14:paraId="6395404F" w14:textId="77777777">
      <w:proofErr w:type="spellStart"/>
      <w:r>
        <w:t>Küchler</w:t>
      </w:r>
      <w:proofErr w:type="spellEnd"/>
      <w:r>
        <w:t xml:space="preserve">, A.W. 1964. Potential natural vegetation of the conterminous United States (map). Special Publication 36. American Geographic Society, NY. </w:t>
      </w:r>
    </w:p>
    <w:p w:rsidR="00C5002D" w:rsidP="00C5002D" w:rsidRDefault="00C5002D" w14:paraId="6FD10D02" w14:textId="77777777"/>
    <w:p w:rsidR="00C5002D" w:rsidP="00C5002D" w:rsidRDefault="00C5002D" w14:paraId="41ECFEA9" w14:textId="77777777">
      <w:r>
        <w:t xml:space="preserve">McCarthy, B.C., C.J. Small and D.L. </w:t>
      </w:r>
      <w:proofErr w:type="spellStart"/>
      <w:r>
        <w:t>Rubino</w:t>
      </w:r>
      <w:proofErr w:type="spellEnd"/>
      <w:r>
        <w:t xml:space="preserve">. 2001. </w:t>
      </w:r>
      <w:r w:rsidR="007967F4">
        <w:t>Composition</w:t>
      </w:r>
      <w:r>
        <w:t>, structure and dynamics of Dysart Woods, an old-growth mixed mesophytic forest of southeastern Ohio. Forest Ecology and Management 140:193-213.</w:t>
      </w:r>
    </w:p>
    <w:p w:rsidR="00C5002D" w:rsidP="00C5002D" w:rsidRDefault="00C5002D" w14:paraId="3BF279D4" w14:textId="77777777"/>
    <w:p w:rsidR="00C5002D" w:rsidP="00C5002D" w:rsidRDefault="00C5002D" w14:paraId="60388B16" w14:textId="77777777">
      <w:r>
        <w:t xml:space="preserve">McNab, W.H. and P.E. Avers. 1994. Ecological </w:t>
      </w:r>
      <w:proofErr w:type="spellStart"/>
      <w:r>
        <w:t>subregions</w:t>
      </w:r>
      <w:proofErr w:type="spellEnd"/>
      <w:r>
        <w:t xml:space="preserve"> of the United States: section descriptions. USDA Forest Service Administrative Publication WO-WSA-5. </w:t>
      </w:r>
    </w:p>
    <w:p w:rsidR="00C5002D" w:rsidP="00C5002D" w:rsidRDefault="00C5002D" w14:paraId="743CB95C" w14:textId="77777777"/>
    <w:p w:rsidR="00C5002D" w:rsidP="00C5002D" w:rsidRDefault="00C5002D" w14:paraId="589FED9D" w14:textId="77777777">
      <w:r>
        <w:t>Morris, S.J. and R.E.J. Boerner. 1998. Landscape patterns of nitrogen mineralization and nitrification in southern Ohio hardwood forests. Landscape Ecology 13:215-224.</w:t>
      </w:r>
    </w:p>
    <w:p w:rsidR="00C5002D" w:rsidP="00C5002D" w:rsidRDefault="00C5002D" w14:paraId="0A6B8F28" w14:textId="77777777"/>
    <w:p w:rsidR="00C5002D" w:rsidP="00C5002D" w:rsidRDefault="00C5002D" w14:paraId="5B5FB351" w14:textId="77777777">
      <w:r>
        <w:t>Muller, R.N. 1982. Vegetation patterns in the mixed mesophytic forest of eastern Kentucky. Ecology 63:1901-1917.</w:t>
      </w:r>
    </w:p>
    <w:p w:rsidR="00C5002D" w:rsidP="00C5002D" w:rsidRDefault="00C5002D" w14:paraId="016F16B4" w14:textId="77777777"/>
    <w:p w:rsidR="00C5002D" w:rsidP="00C5002D" w:rsidRDefault="00C5002D" w14:paraId="1DC69690" w14:textId="77777777">
      <w:r>
        <w:t>NatureServe. 2007. International Ecological Classification Standard: Terrestrial Ecological Classifications. NatureServe Central Databases. Arlington, VA. Data current as of 10 February 2007.</w:t>
      </w:r>
    </w:p>
    <w:p w:rsidR="00C5002D" w:rsidP="00C5002D" w:rsidRDefault="00C5002D" w14:paraId="668ADB5E" w14:textId="77777777"/>
    <w:p w:rsidR="00C5002D" w:rsidP="00C5002D" w:rsidRDefault="00C5002D" w14:paraId="780E8E4F" w14:textId="77777777">
      <w:proofErr w:type="spellStart"/>
      <w:r>
        <w:t>Rentch</w:t>
      </w:r>
      <w:proofErr w:type="spellEnd"/>
      <w:r>
        <w:t xml:space="preserve">, J.S., M.A. </w:t>
      </w:r>
      <w:proofErr w:type="spellStart"/>
      <w:r>
        <w:t>Fajvan</w:t>
      </w:r>
      <w:proofErr w:type="spellEnd"/>
      <w:r>
        <w:t xml:space="preserve"> and R.R. Hicks Jr. 2003.</w:t>
      </w:r>
      <w:r w:rsidR="0097772F">
        <w:t xml:space="preserve"> </w:t>
      </w:r>
      <w:r>
        <w:t>Spatial and temporal disturbance characteristics of oak-dominated old-growth stands in the central hardwood forest region. Forest Science 49:778-789.</w:t>
      </w:r>
    </w:p>
    <w:p w:rsidR="00C5002D" w:rsidP="00C5002D" w:rsidRDefault="00C5002D" w14:paraId="61765718" w14:textId="77777777"/>
    <w:p w:rsidR="00C5002D" w:rsidP="00C5002D" w:rsidRDefault="00C5002D" w14:paraId="13F8313A" w14:textId="77777777">
      <w:r>
        <w:t>Schmidt, K.M., J.P. Menakis, C.C. Hardy, W.J. Hann and D.L. Bunnell. 2002. Development of coarse-scale spatial data for wildland fire and fuel management. USDA Forest Service GTR-RMRS-87.</w:t>
      </w:r>
    </w:p>
    <w:p w:rsidRPr="00A43E41" w:rsidR="004D5F12" w:rsidP="00C5002D" w:rsidRDefault="004D5F12" w14:paraId="33853B1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94C7E" w14:textId="77777777" w:rsidR="002314C3" w:rsidRDefault="002314C3">
      <w:r>
        <w:separator/>
      </w:r>
    </w:p>
  </w:endnote>
  <w:endnote w:type="continuationSeparator" w:id="0">
    <w:p w14:paraId="44B1CE76" w14:textId="77777777" w:rsidR="002314C3" w:rsidRDefault="002314C3">
      <w:r>
        <w:continuationSeparator/>
      </w:r>
    </w:p>
  </w:endnote>
  <w:endnote w:type="continuationNotice" w:id="1">
    <w:p w14:paraId="646AD410" w14:textId="77777777" w:rsidR="002314C3" w:rsidRDefault="002314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1A130" w14:textId="77777777" w:rsidR="00C5002D" w:rsidRDefault="00C5002D" w:rsidP="00C5002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88597" w14:textId="77777777" w:rsidR="002314C3" w:rsidRDefault="002314C3">
      <w:r>
        <w:separator/>
      </w:r>
    </w:p>
  </w:footnote>
  <w:footnote w:type="continuationSeparator" w:id="0">
    <w:p w14:paraId="07F3BCD3" w14:textId="77777777" w:rsidR="002314C3" w:rsidRDefault="002314C3">
      <w:r>
        <w:continuationSeparator/>
      </w:r>
    </w:p>
  </w:footnote>
  <w:footnote w:type="continuationNotice" w:id="1">
    <w:p w14:paraId="7FF886E2" w14:textId="77777777" w:rsidR="002314C3" w:rsidRDefault="002314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711AF" w14:textId="77777777" w:rsidR="00A43E41" w:rsidRDefault="00A43E41" w:rsidP="00C5002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20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A0C00"/>
    <w:pPr>
      <w:ind w:left="720"/>
    </w:pPr>
    <w:rPr>
      <w:rFonts w:ascii="Calibri" w:eastAsiaTheme="minorHAnsi" w:hAnsi="Calibri"/>
      <w:sz w:val="22"/>
      <w:szCs w:val="22"/>
    </w:rPr>
  </w:style>
  <w:style w:type="character" w:styleId="Hyperlink">
    <w:name w:val="Hyperlink"/>
    <w:basedOn w:val="DefaultParagraphFont"/>
    <w:rsid w:val="00AA0C00"/>
    <w:rPr>
      <w:color w:val="0000FF" w:themeColor="hyperlink"/>
      <w:u w:val="single"/>
    </w:rPr>
  </w:style>
  <w:style w:type="paragraph" w:styleId="BalloonText">
    <w:name w:val="Balloon Text"/>
    <w:basedOn w:val="Normal"/>
    <w:link w:val="BalloonTextChar"/>
    <w:uiPriority w:val="99"/>
    <w:semiHidden/>
    <w:unhideWhenUsed/>
    <w:rsid w:val="00AA0C00"/>
    <w:rPr>
      <w:rFonts w:ascii="Tahoma" w:hAnsi="Tahoma" w:cs="Tahoma"/>
      <w:sz w:val="16"/>
      <w:szCs w:val="16"/>
    </w:rPr>
  </w:style>
  <w:style w:type="character" w:customStyle="1" w:styleId="BalloonTextChar">
    <w:name w:val="Balloon Text Char"/>
    <w:basedOn w:val="DefaultParagraphFont"/>
    <w:link w:val="BalloonText"/>
    <w:uiPriority w:val="99"/>
    <w:semiHidden/>
    <w:rsid w:val="00AA0C00"/>
    <w:rPr>
      <w:rFonts w:ascii="Tahoma" w:hAnsi="Tahoma" w:cs="Tahoma"/>
      <w:sz w:val="16"/>
      <w:szCs w:val="16"/>
    </w:rPr>
  </w:style>
  <w:style w:type="character" w:styleId="CommentReference">
    <w:name w:val="annotation reference"/>
    <w:basedOn w:val="DefaultParagraphFont"/>
    <w:uiPriority w:val="99"/>
    <w:semiHidden/>
    <w:unhideWhenUsed/>
    <w:rsid w:val="00C877D8"/>
    <w:rPr>
      <w:sz w:val="16"/>
      <w:szCs w:val="16"/>
    </w:rPr>
  </w:style>
  <w:style w:type="paragraph" w:styleId="CommentText">
    <w:name w:val="annotation text"/>
    <w:basedOn w:val="Normal"/>
    <w:link w:val="CommentTextChar"/>
    <w:uiPriority w:val="99"/>
    <w:semiHidden/>
    <w:unhideWhenUsed/>
    <w:rsid w:val="00C877D8"/>
    <w:rPr>
      <w:sz w:val="20"/>
      <w:szCs w:val="20"/>
    </w:rPr>
  </w:style>
  <w:style w:type="character" w:customStyle="1" w:styleId="CommentTextChar">
    <w:name w:val="Comment Text Char"/>
    <w:basedOn w:val="DefaultParagraphFont"/>
    <w:link w:val="CommentText"/>
    <w:uiPriority w:val="99"/>
    <w:semiHidden/>
    <w:rsid w:val="00C877D8"/>
  </w:style>
  <w:style w:type="paragraph" w:styleId="CommentSubject">
    <w:name w:val="annotation subject"/>
    <w:basedOn w:val="CommentText"/>
    <w:next w:val="CommentText"/>
    <w:link w:val="CommentSubjectChar"/>
    <w:uiPriority w:val="99"/>
    <w:semiHidden/>
    <w:unhideWhenUsed/>
    <w:rsid w:val="00C877D8"/>
    <w:rPr>
      <w:b/>
      <w:bCs/>
    </w:rPr>
  </w:style>
  <w:style w:type="character" w:customStyle="1" w:styleId="CommentSubjectChar">
    <w:name w:val="Comment Subject Char"/>
    <w:basedOn w:val="CommentTextChar"/>
    <w:link w:val="CommentSubject"/>
    <w:uiPriority w:val="99"/>
    <w:semiHidden/>
    <w:rsid w:val="00C877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63217">
      <w:bodyDiv w:val="1"/>
      <w:marLeft w:val="0"/>
      <w:marRight w:val="0"/>
      <w:marTop w:val="0"/>
      <w:marBottom w:val="0"/>
      <w:divBdr>
        <w:top w:val="none" w:sz="0" w:space="0" w:color="auto"/>
        <w:left w:val="none" w:sz="0" w:space="0" w:color="auto"/>
        <w:bottom w:val="none" w:sz="0" w:space="0" w:color="auto"/>
        <w:right w:val="none" w:sz="0" w:space="0" w:color="auto"/>
      </w:divBdr>
    </w:div>
    <w:div w:id="162800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2014-08-21T15:00:00Z</cp:lastPrinted>
  <dcterms:created xsi:type="dcterms:W3CDTF">2018-03-29T01:16:00Z</dcterms:created>
  <dcterms:modified xsi:type="dcterms:W3CDTF">2025-02-12T09:41:45Z</dcterms:modified>
</cp:coreProperties>
</file>