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726" w:rsidP="00D25726" w:rsidRDefault="00D25726">
      <w:pPr>
        <w:pStyle w:val="BpSTitle"/>
      </w:pPr>
      <w:r>
        <w:t>13380</w:t>
      </w:r>
    </w:p>
    <w:p w:rsidR="00D25726" w:rsidP="00D25726" w:rsidRDefault="00D25726">
      <w:pPr>
        <w:pStyle w:val="BpSTitle"/>
      </w:pPr>
      <w:r>
        <w:t>Central and South Texas Coastal Fringe Forest and Woodland</w:t>
      </w:r>
    </w:p>
    <w:p w:rsidR="00D25726" w:rsidP="00D25726" w:rsidRDefault="00D25726">
      <w:r>
        <w:t>BpS Model/Description Version: Aug. 2020</w:t>
      </w:r>
      <w:r>
        <w:tab/>
      </w:r>
      <w:r>
        <w:tab/>
      </w:r>
      <w:r>
        <w:tab/>
      </w:r>
      <w:r>
        <w:tab/>
      </w:r>
      <w:r>
        <w:tab/>
      </w:r>
      <w:r>
        <w:tab/>
      </w:r>
      <w:r>
        <w:tab/>
      </w:r>
    </w:p>
    <w:p w:rsidR="00D25726" w:rsidP="00D25726" w:rsidRDefault="008C3846">
      <w:r>
        <w:tab/>
      </w:r>
      <w:r>
        <w:tab/>
      </w:r>
      <w:r>
        <w:tab/>
      </w:r>
      <w:r>
        <w:tab/>
      </w:r>
      <w:r>
        <w:tab/>
      </w:r>
      <w:r>
        <w:tab/>
      </w:r>
      <w:r>
        <w:tab/>
      </w:r>
      <w:r>
        <w:tab/>
      </w:r>
      <w:r>
        <w:tab/>
      </w:r>
      <w:r>
        <w:tab/>
        <w:t>Updated: 4/24/2018</w:t>
      </w:r>
    </w:p>
    <w:p w:rsidR="00D25726" w:rsidP="00D25726" w:rsidRDefault="00D25726"/>
    <w:p w:rsidR="00D25726" w:rsidP="00D25726" w:rsidRDefault="00D25726">
      <w:pPr>
        <w:pStyle w:val="InfoPara"/>
      </w:pPr>
      <w:r>
        <w:t>Vegetation Type</w:t>
      </w:r>
    </w:p>
    <w:p w:rsidR="00D25726" w:rsidP="00D25726" w:rsidRDefault="00D25726">
      <w:r>
        <w:t>Forest and Woodland</w:t>
      </w:r>
    </w:p>
    <w:p w:rsidR="00D25726" w:rsidP="00D25726" w:rsidRDefault="00D25726">
      <w:pPr>
        <w:pStyle w:val="InfoPara"/>
      </w:pPr>
      <w:r>
        <w:t>Map Zones</w:t>
      </w:r>
    </w:p>
    <w:p w:rsidR="00D25726" w:rsidP="00D25726" w:rsidRDefault="00D25726">
      <w:r>
        <w:t>36</w:t>
      </w:r>
    </w:p>
    <w:p w:rsidR="00D25726" w:rsidP="00D25726" w:rsidRDefault="00D25726">
      <w:pPr>
        <w:pStyle w:val="InfoPara"/>
      </w:pPr>
      <w:r>
        <w:t>Geographic Range</w:t>
      </w:r>
    </w:p>
    <w:p w:rsidR="00D25726" w:rsidP="00D25726" w:rsidRDefault="00D25726">
      <w:r>
        <w:t xml:space="preserve">This habitat type includes oak-mottes found on the South Texas Sand Sheet occurring in Kleberg, Brooks and </w:t>
      </w:r>
      <w:proofErr w:type="spellStart"/>
      <w:r>
        <w:t>Kenedy</w:t>
      </w:r>
      <w:proofErr w:type="spellEnd"/>
      <w:r>
        <w:t xml:space="preserve"> counties, as well as oak/</w:t>
      </w:r>
      <w:proofErr w:type="spellStart"/>
      <w:r>
        <w:t>redbay</w:t>
      </w:r>
      <w:proofErr w:type="spellEnd"/>
      <w:r>
        <w:t xml:space="preserve"> forests occurring on the Ingleside Barrier strandplain in Nueces, San Patricio, Aransas, Refugio and Calhoun counties. </w:t>
      </w:r>
    </w:p>
    <w:p w:rsidR="00D25726" w:rsidP="00D25726" w:rsidRDefault="00D25726"/>
    <w:p w:rsidR="00D25726" w:rsidP="00D25726" w:rsidRDefault="00D25726">
      <w:r>
        <w:t xml:space="preserve">On the Ingleside Barrier strandplain, it extends from the coast to about five miles inland, primarily on high sandy ridges adjacent to the bays. Due to its higher elevation, this </w:t>
      </w:r>
      <w:r w:rsidR="008C3846">
        <w:t>Biophysical Setting (</w:t>
      </w:r>
      <w:r>
        <w:t>BpS</w:t>
      </w:r>
      <w:r w:rsidR="008C3846">
        <w:t>)</w:t>
      </w:r>
      <w:r>
        <w:t xml:space="preserve"> is less susceptible to tidal storm surges than adjacent habitats in lower elevations. On the deep sands (50-80in deep) of the South Texas Sand Sheet, found south of Corpus Christi, this type extends much further inland.</w:t>
      </w:r>
    </w:p>
    <w:p w:rsidR="00D25726" w:rsidP="00D25726" w:rsidRDefault="00D25726">
      <w:pPr>
        <w:pStyle w:val="InfoPara"/>
      </w:pPr>
      <w:r>
        <w:t>Biophysical Site Description</w:t>
      </w:r>
    </w:p>
    <w:p w:rsidR="00D25726" w:rsidP="00D25726" w:rsidRDefault="00D25726">
      <w:r>
        <w:t>The Ingleside Barrier Strandplain consists of ancient dunes along the bay shorelines and the vegetation is influenced by salt spray. The dominant soil type was mapped as the Galveston-Mustang-</w:t>
      </w:r>
      <w:proofErr w:type="spellStart"/>
      <w:r>
        <w:t>Dianola</w:t>
      </w:r>
      <w:proofErr w:type="spellEnd"/>
      <w:r>
        <w:t xml:space="preserve"> series and was described as nearly level to undulating, rapidly permeable, </w:t>
      </w:r>
      <w:proofErr w:type="spellStart"/>
      <w:r>
        <w:t>nonsaline</w:t>
      </w:r>
      <w:proofErr w:type="spellEnd"/>
      <w:r>
        <w:t xml:space="preserve"> sandy soils in low coastal areas (USDA Conservation Service and TAES 1984 and 1992).</w:t>
      </w:r>
    </w:p>
    <w:p w:rsidR="00D25726" w:rsidP="00D25726" w:rsidRDefault="00D25726">
      <w:pPr>
        <w:pStyle w:val="InfoPara"/>
      </w:pPr>
      <w:r>
        <w:t>Vegetation Description</w:t>
      </w:r>
    </w:p>
    <w:p w:rsidR="00D25726" w:rsidP="00D25726" w:rsidRDefault="00087123">
      <w:r>
        <w:t>Generally,</w:t>
      </w:r>
      <w:r w:rsidR="00D25726">
        <w:t xml:space="preserve"> this system appears as a dense thicket dominated by live oak (</w:t>
      </w:r>
      <w:r w:rsidRPr="008C3846" w:rsidR="00D25726">
        <w:rPr>
          <w:i/>
        </w:rPr>
        <w:t xml:space="preserve">Quercus </w:t>
      </w:r>
      <w:proofErr w:type="spellStart"/>
      <w:r w:rsidRPr="008C3846" w:rsidR="00D25726">
        <w:rPr>
          <w:i/>
        </w:rPr>
        <w:t>virginiana</w:t>
      </w:r>
      <w:proofErr w:type="spellEnd"/>
      <w:r w:rsidR="00D25726">
        <w:t>), plateau oak (</w:t>
      </w:r>
      <w:r w:rsidRPr="008C3846" w:rsidR="00D25726">
        <w:rPr>
          <w:i/>
        </w:rPr>
        <w:t>Quercus fusiformis</w:t>
      </w:r>
      <w:r w:rsidR="00D25726">
        <w:t xml:space="preserve">), </w:t>
      </w:r>
      <w:proofErr w:type="spellStart"/>
      <w:r w:rsidR="00D25726">
        <w:t>redbay</w:t>
      </w:r>
      <w:proofErr w:type="spellEnd"/>
      <w:r w:rsidR="00D25726">
        <w:t xml:space="preserve"> (</w:t>
      </w:r>
      <w:proofErr w:type="spellStart"/>
      <w:r w:rsidRPr="008C3846" w:rsidR="00D25726">
        <w:rPr>
          <w:i/>
        </w:rPr>
        <w:t>Persea</w:t>
      </w:r>
      <w:proofErr w:type="spellEnd"/>
      <w:r w:rsidRPr="008C3846" w:rsidR="00D25726">
        <w:rPr>
          <w:i/>
        </w:rPr>
        <w:t xml:space="preserve"> </w:t>
      </w:r>
      <w:proofErr w:type="spellStart"/>
      <w:r w:rsidRPr="008C3846" w:rsidR="00D25726">
        <w:rPr>
          <w:i/>
        </w:rPr>
        <w:t>borbonia</w:t>
      </w:r>
      <w:proofErr w:type="spellEnd"/>
      <w:r w:rsidR="00D25726">
        <w:t>) and yaupon (</w:t>
      </w:r>
      <w:r w:rsidRPr="008C3846" w:rsidR="00D25726">
        <w:rPr>
          <w:i/>
        </w:rPr>
        <w:t>Ilex vomitoria</w:t>
      </w:r>
      <w:r w:rsidR="00D25726">
        <w:t>). Darlington oak (</w:t>
      </w:r>
      <w:r w:rsidRPr="008C3846" w:rsidR="00D25726">
        <w:rPr>
          <w:i/>
        </w:rPr>
        <w:t xml:space="preserve">Quercus </w:t>
      </w:r>
      <w:proofErr w:type="spellStart"/>
      <w:r w:rsidRPr="008C3846" w:rsidR="00D25726">
        <w:rPr>
          <w:i/>
        </w:rPr>
        <w:t>hemisphaerica</w:t>
      </w:r>
      <w:proofErr w:type="spellEnd"/>
      <w:r w:rsidR="00D25726">
        <w:t>) may also be present. Additional understory species include wax mallow (</w:t>
      </w:r>
      <w:proofErr w:type="spellStart"/>
      <w:r w:rsidRPr="008C3846" w:rsidR="00D25726">
        <w:rPr>
          <w:i/>
        </w:rPr>
        <w:t>Malvaviscus</w:t>
      </w:r>
      <w:proofErr w:type="spellEnd"/>
      <w:r w:rsidRPr="008C3846" w:rsidR="00D25726">
        <w:rPr>
          <w:i/>
        </w:rPr>
        <w:t xml:space="preserve"> </w:t>
      </w:r>
      <w:proofErr w:type="spellStart"/>
      <w:r w:rsidRPr="008C3846" w:rsidR="00D25726">
        <w:rPr>
          <w:i/>
        </w:rPr>
        <w:t>arboreus</w:t>
      </w:r>
      <w:proofErr w:type="spellEnd"/>
      <w:r w:rsidR="00D25726">
        <w:t>) and wax myrtle (</w:t>
      </w:r>
      <w:r w:rsidRPr="008C3846" w:rsidR="00D25726">
        <w:rPr>
          <w:i/>
        </w:rPr>
        <w:t>Morella cerifera</w:t>
      </w:r>
      <w:r w:rsidR="00D25726">
        <w:t>). Along the edge of mottes, beautyberry (</w:t>
      </w:r>
      <w:r w:rsidRPr="008C3846" w:rsidR="00D25726">
        <w:rPr>
          <w:i/>
        </w:rPr>
        <w:t xml:space="preserve">Callicarpa </w:t>
      </w:r>
      <w:proofErr w:type="spellStart"/>
      <w:r w:rsidRPr="008C3846" w:rsidR="00D25726">
        <w:rPr>
          <w:i/>
        </w:rPr>
        <w:t>americana</w:t>
      </w:r>
      <w:proofErr w:type="spellEnd"/>
      <w:r w:rsidR="00D25726">
        <w:t>), coral bean (</w:t>
      </w:r>
      <w:r w:rsidRPr="008C3846" w:rsidR="00D25726">
        <w:rPr>
          <w:i/>
        </w:rPr>
        <w:t xml:space="preserve">Erythrina </w:t>
      </w:r>
      <w:proofErr w:type="spellStart"/>
      <w:r w:rsidRPr="008C3846" w:rsidR="00D25726">
        <w:rPr>
          <w:i/>
        </w:rPr>
        <w:t>herbacea</w:t>
      </w:r>
      <w:proofErr w:type="spellEnd"/>
      <w:r w:rsidR="00D25726">
        <w:t>), lime prickly ash (</w:t>
      </w:r>
      <w:proofErr w:type="spellStart"/>
      <w:r w:rsidRPr="008C3846" w:rsidR="00D25726">
        <w:rPr>
          <w:i/>
        </w:rPr>
        <w:t>Zanthoxylum</w:t>
      </w:r>
      <w:proofErr w:type="spellEnd"/>
      <w:r w:rsidRPr="008C3846" w:rsidR="00D25726">
        <w:rPr>
          <w:i/>
        </w:rPr>
        <w:t xml:space="preserve"> </w:t>
      </w:r>
      <w:proofErr w:type="spellStart"/>
      <w:r w:rsidRPr="008C3846" w:rsidR="00D25726">
        <w:rPr>
          <w:i/>
        </w:rPr>
        <w:t>fagara</w:t>
      </w:r>
      <w:proofErr w:type="spellEnd"/>
      <w:r w:rsidR="00D25726">
        <w:t>) and tickle-tongue (</w:t>
      </w:r>
      <w:proofErr w:type="spellStart"/>
      <w:r w:rsidRPr="008C3846" w:rsidR="00D25726">
        <w:rPr>
          <w:i/>
        </w:rPr>
        <w:t>Zanthoxylum</w:t>
      </w:r>
      <w:proofErr w:type="spellEnd"/>
      <w:r w:rsidRPr="008C3846" w:rsidR="00D25726">
        <w:rPr>
          <w:i/>
        </w:rPr>
        <w:t xml:space="preserve"> </w:t>
      </w:r>
      <w:proofErr w:type="spellStart"/>
      <w:r w:rsidRPr="008C3846" w:rsidR="00D25726">
        <w:rPr>
          <w:i/>
        </w:rPr>
        <w:t>hirsutum</w:t>
      </w:r>
      <w:proofErr w:type="spellEnd"/>
      <w:r w:rsidR="00D25726">
        <w:t>) are present. Dominant vines include mustang grape (</w:t>
      </w:r>
      <w:proofErr w:type="spellStart"/>
      <w:r w:rsidRPr="008C3846" w:rsidR="00D25726">
        <w:rPr>
          <w:i/>
        </w:rPr>
        <w:t>Vitis</w:t>
      </w:r>
      <w:proofErr w:type="spellEnd"/>
      <w:r w:rsidRPr="008C3846" w:rsidR="00D25726">
        <w:rPr>
          <w:i/>
        </w:rPr>
        <w:t xml:space="preserve"> </w:t>
      </w:r>
      <w:proofErr w:type="spellStart"/>
      <w:r w:rsidRPr="008C3846" w:rsidR="00D25726">
        <w:rPr>
          <w:i/>
        </w:rPr>
        <w:t>mustangensis</w:t>
      </w:r>
      <w:proofErr w:type="spellEnd"/>
      <w:r w:rsidR="00D25726">
        <w:t xml:space="preserve">), </w:t>
      </w:r>
      <w:proofErr w:type="spellStart"/>
      <w:r w:rsidR="00D25726">
        <w:t>greenbriar</w:t>
      </w:r>
      <w:proofErr w:type="spellEnd"/>
      <w:r w:rsidR="00D25726">
        <w:t xml:space="preserve"> (</w:t>
      </w:r>
      <w:r w:rsidRPr="008C3846" w:rsidR="00D25726">
        <w:rPr>
          <w:i/>
        </w:rPr>
        <w:t xml:space="preserve">Smilax </w:t>
      </w:r>
      <w:proofErr w:type="spellStart"/>
      <w:r w:rsidR="00D25726">
        <w:t>spp</w:t>
      </w:r>
      <w:proofErr w:type="spellEnd"/>
      <w:r w:rsidR="00D25726">
        <w:t>) and trumpet creeper (</w:t>
      </w:r>
      <w:proofErr w:type="spellStart"/>
      <w:r w:rsidRPr="008C3846" w:rsidR="00D25726">
        <w:rPr>
          <w:i/>
        </w:rPr>
        <w:t>Campsis</w:t>
      </w:r>
      <w:proofErr w:type="spellEnd"/>
      <w:r w:rsidRPr="008C3846" w:rsidR="00D25726">
        <w:rPr>
          <w:i/>
        </w:rPr>
        <w:t xml:space="preserve"> </w:t>
      </w:r>
      <w:proofErr w:type="spellStart"/>
      <w:r w:rsidRPr="008C3846" w:rsidR="00D25726">
        <w:rPr>
          <w:i/>
        </w:rPr>
        <w:t>radicans</w:t>
      </w:r>
      <w:proofErr w:type="spellEnd"/>
      <w:r w:rsidR="00D25726">
        <w:t>). There is also a significant grass component in this community found in woodland openings and swales. Dominant species include seacoast bluestem (</w:t>
      </w:r>
      <w:proofErr w:type="spellStart"/>
      <w:r w:rsidRPr="008C3846" w:rsidR="00D25726">
        <w:rPr>
          <w:i/>
        </w:rPr>
        <w:t>Schizachyrium</w:t>
      </w:r>
      <w:proofErr w:type="spellEnd"/>
      <w:r w:rsidRPr="008C3846" w:rsidR="00D25726">
        <w:rPr>
          <w:i/>
        </w:rPr>
        <w:t xml:space="preserve"> </w:t>
      </w:r>
      <w:proofErr w:type="spellStart"/>
      <w:r w:rsidRPr="008C3846" w:rsidR="00D25726">
        <w:rPr>
          <w:i/>
        </w:rPr>
        <w:t>scoparium</w:t>
      </w:r>
      <w:proofErr w:type="spellEnd"/>
      <w:r w:rsidR="00D25726">
        <w:t xml:space="preserve"> var. </w:t>
      </w:r>
      <w:proofErr w:type="spellStart"/>
      <w:r w:rsidRPr="008C3846" w:rsidR="00D25726">
        <w:rPr>
          <w:i/>
        </w:rPr>
        <w:t>littoralis</w:t>
      </w:r>
      <w:proofErr w:type="spellEnd"/>
      <w:r w:rsidR="00D25726">
        <w:t>), Indian grass (</w:t>
      </w:r>
      <w:proofErr w:type="spellStart"/>
      <w:r w:rsidRPr="008C3846" w:rsidR="00D25726">
        <w:rPr>
          <w:i/>
        </w:rPr>
        <w:t>Sorghastrum</w:t>
      </w:r>
      <w:proofErr w:type="spellEnd"/>
      <w:r w:rsidRPr="008C3846" w:rsidR="00D25726">
        <w:rPr>
          <w:i/>
        </w:rPr>
        <w:t xml:space="preserve"> </w:t>
      </w:r>
      <w:proofErr w:type="spellStart"/>
      <w:r w:rsidRPr="008C3846" w:rsidR="00D25726">
        <w:rPr>
          <w:i/>
        </w:rPr>
        <w:t>nutans</w:t>
      </w:r>
      <w:proofErr w:type="spellEnd"/>
      <w:r w:rsidR="00D25726">
        <w:t>) and big bluestem (</w:t>
      </w:r>
      <w:proofErr w:type="spellStart"/>
      <w:r w:rsidRPr="008C3846" w:rsidR="00D25726">
        <w:rPr>
          <w:i/>
        </w:rPr>
        <w:t>Andropogon</w:t>
      </w:r>
      <w:proofErr w:type="spellEnd"/>
      <w:r w:rsidRPr="008C3846" w:rsidR="00D25726">
        <w:rPr>
          <w:i/>
        </w:rPr>
        <w:t xml:space="preserve"> </w:t>
      </w:r>
      <w:proofErr w:type="spellStart"/>
      <w:r w:rsidRPr="008C3846" w:rsidR="00D25726">
        <w:rPr>
          <w:i/>
        </w:rPr>
        <w:t>gerardii</w:t>
      </w:r>
      <w:proofErr w:type="spellEnd"/>
      <w:r w:rsidR="00D25726">
        <w:t>), switchgrass (</w:t>
      </w:r>
      <w:r w:rsidRPr="008C3846" w:rsidR="00D25726">
        <w:rPr>
          <w:i/>
        </w:rPr>
        <w:t xml:space="preserve">Panicum </w:t>
      </w:r>
      <w:proofErr w:type="spellStart"/>
      <w:r w:rsidRPr="008C3846" w:rsidR="00D25726">
        <w:rPr>
          <w:i/>
        </w:rPr>
        <w:t>virgatum</w:t>
      </w:r>
      <w:proofErr w:type="spellEnd"/>
      <w:r w:rsidR="00D25726">
        <w:t xml:space="preserve">) and others. At the northern end of the BpS, </w:t>
      </w:r>
      <w:proofErr w:type="spellStart"/>
      <w:r w:rsidR="00D25726">
        <w:t>netleaf</w:t>
      </w:r>
      <w:proofErr w:type="spellEnd"/>
      <w:r w:rsidR="00D25726">
        <w:t xml:space="preserve"> hackberry (</w:t>
      </w:r>
      <w:proofErr w:type="spellStart"/>
      <w:r w:rsidRPr="008C3846" w:rsidR="00D25726">
        <w:rPr>
          <w:i/>
        </w:rPr>
        <w:t>Celtis</w:t>
      </w:r>
      <w:proofErr w:type="spellEnd"/>
      <w:r w:rsidRPr="008C3846" w:rsidR="00D25726">
        <w:rPr>
          <w:i/>
        </w:rPr>
        <w:t xml:space="preserve"> </w:t>
      </w:r>
      <w:proofErr w:type="spellStart"/>
      <w:r w:rsidRPr="008C3846" w:rsidR="00D25726">
        <w:rPr>
          <w:i/>
        </w:rPr>
        <w:t>laevigata</w:t>
      </w:r>
      <w:proofErr w:type="spellEnd"/>
      <w:r w:rsidR="00D25726">
        <w:t xml:space="preserve"> var. </w:t>
      </w:r>
      <w:proofErr w:type="spellStart"/>
      <w:r w:rsidRPr="008C3846" w:rsidR="00D25726">
        <w:rPr>
          <w:i/>
        </w:rPr>
        <w:t>retuculata</w:t>
      </w:r>
      <w:proofErr w:type="spellEnd"/>
      <w:r w:rsidR="00D25726">
        <w:t>) and blackjack oak (</w:t>
      </w:r>
      <w:r w:rsidRPr="008C3846" w:rsidR="00D25726">
        <w:rPr>
          <w:i/>
        </w:rPr>
        <w:t xml:space="preserve">Q. </w:t>
      </w:r>
      <w:proofErr w:type="spellStart"/>
      <w:r w:rsidRPr="008C3846" w:rsidR="00D25726">
        <w:rPr>
          <w:i/>
        </w:rPr>
        <w:t>marilandica</w:t>
      </w:r>
      <w:proofErr w:type="spellEnd"/>
      <w:r w:rsidR="00D25726">
        <w:t xml:space="preserve">) are also scattered </w:t>
      </w:r>
      <w:r w:rsidR="00D25726">
        <w:lastRenderedPageBreak/>
        <w:t>throughout. Where it occurs on the south T</w:t>
      </w:r>
      <w:r w:rsidR="008C3846">
        <w:t>exas</w:t>
      </w:r>
      <w:r w:rsidR="00D25726">
        <w:t xml:space="preserve"> sand sheet, </w:t>
      </w:r>
      <w:proofErr w:type="spellStart"/>
      <w:r w:rsidR="00D25726">
        <w:t>redbay</w:t>
      </w:r>
      <w:proofErr w:type="spellEnd"/>
      <w:r w:rsidR="00D25726">
        <w:t>, coral bean</w:t>
      </w:r>
      <w:r w:rsidR="008C3846">
        <w:t>,</w:t>
      </w:r>
      <w:r w:rsidR="00D25726">
        <w:t xml:space="preserve"> and beautyberry are not likely components of the community.</w:t>
      </w:r>
    </w:p>
    <w:p w:rsidR="00D25726" w:rsidP="00D25726" w:rsidRDefault="00D25726"/>
    <w:p w:rsidR="00D25726" w:rsidP="00D25726" w:rsidRDefault="00D25726">
      <w:r>
        <w:t>Conspicuous within this BpS are patches void of the dominant vegetation. These depressional areas are thought to have been created by aeolian forces and support ephemeral emergent wetlands. Common species found in these wetlands include bulrush (</w:t>
      </w:r>
      <w:proofErr w:type="spellStart"/>
      <w:r w:rsidRPr="008C3846">
        <w:rPr>
          <w:i/>
        </w:rPr>
        <w:t>Scirpus</w:t>
      </w:r>
      <w:proofErr w:type="spellEnd"/>
      <w:r>
        <w:t xml:space="preserve"> spp.), </w:t>
      </w:r>
      <w:proofErr w:type="spellStart"/>
      <w:r>
        <w:t>spikerush</w:t>
      </w:r>
      <w:proofErr w:type="spellEnd"/>
      <w:r>
        <w:t xml:space="preserve"> (</w:t>
      </w:r>
      <w:proofErr w:type="spellStart"/>
      <w:r w:rsidRPr="008C3846">
        <w:rPr>
          <w:i/>
        </w:rPr>
        <w:t>Eleocharis</w:t>
      </w:r>
      <w:proofErr w:type="spellEnd"/>
      <w:r>
        <w:t xml:space="preserve"> spp.), rushes (</w:t>
      </w:r>
      <w:proofErr w:type="spellStart"/>
      <w:r>
        <w:t>J</w:t>
      </w:r>
      <w:r w:rsidRPr="008C3846">
        <w:rPr>
          <w:i/>
        </w:rPr>
        <w:t>uncus</w:t>
      </w:r>
      <w:proofErr w:type="spellEnd"/>
      <w:r>
        <w:t xml:space="preserve"> spp.)</w:t>
      </w:r>
      <w:r w:rsidR="008C3846">
        <w:t>,</w:t>
      </w:r>
      <w:r>
        <w:t xml:space="preserve"> and sedges. </w:t>
      </w:r>
    </w:p>
    <w:p w:rsidR="00D25726" w:rsidP="00D25726" w:rsidRDefault="00D25726"/>
    <w:p w:rsidR="00D25726" w:rsidP="00D25726" w:rsidRDefault="00D25726">
      <w:r>
        <w:t>This BpS probably developed largely in the absence of frequent fire which allowed the overstory of large trees to develop.</w:t>
      </w:r>
    </w:p>
    <w:p w:rsidR="00D25726" w:rsidP="00D25726" w:rsidRDefault="00D25726">
      <w:pPr>
        <w:pStyle w:val="InfoPara"/>
      </w:pPr>
      <w:r>
        <w:t>BpS Dominant and Indicator Species</w:t>
      </w:r>
    </w:p>
    <w:p>
      <w:r>
        <w:rPr>
          <w:sz w:val="16"/>
        </w:rPr>
        <w:t>Species names are from the NRCS PLANTS database. Check species codes at http://plants.usda.gov.</w:t>
      </w:r>
    </w:p>
    <w:p w:rsidR="00D25726" w:rsidP="00D25726" w:rsidRDefault="00D25726">
      <w:pPr>
        <w:pStyle w:val="InfoPara"/>
      </w:pPr>
      <w:r>
        <w:t>Disturbance Description</w:t>
      </w:r>
    </w:p>
    <w:p w:rsidR="00D25726" w:rsidP="00D25726" w:rsidRDefault="00D25726">
      <w:r>
        <w:t>Disturbance to this ecosystem has a relatively low frequency and occurs as an extreme hurricane event or an extended drought followed by a fire. Wind from Category 5 hurricanes can remove canopy, while the associated tidal storm surge may cause sand deposition and increase soil salinity resulting in mortality of all vegetation types. Some mortality may still be expected from the effects of hurricanes under Category 5. There would be less mortality because of the presence of the barrier islands and the higher elevation where these systems occur.</w:t>
      </w:r>
    </w:p>
    <w:p w:rsidR="00D25726" w:rsidP="00D25726" w:rsidRDefault="00D25726"/>
    <w:p w:rsidR="00D25726" w:rsidP="00D25726" w:rsidRDefault="00D25726">
      <w:r>
        <w:t>Fire from adjacent habitats, mainly the Texas-Louisiana coastal prairie, possibly limited the expansion of this system. Though the system lacks ground fuel, it does contain enough ladder fuels, particularly on the edge of oak mottes, to carry fire under the right conditions.</w:t>
      </w:r>
    </w:p>
    <w:p w:rsidR="00D25726" w:rsidP="00D25726" w:rsidRDefault="0008712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25726" w:rsidP="00D25726" w:rsidRDefault="00D25726">
      <w:pPr>
        <w:pStyle w:val="InfoPara"/>
      </w:pPr>
      <w:r>
        <w:t>Scale Description</w:t>
      </w:r>
    </w:p>
    <w:p w:rsidR="00D25726" w:rsidP="00D25726" w:rsidRDefault="00D25726">
      <w:r>
        <w:t>Today this system is relatively limited in extent. It is believed that historically this type would also have been limited in size and extent based on topography and soils.</w:t>
      </w:r>
    </w:p>
    <w:p w:rsidR="00D25726" w:rsidP="00D25726" w:rsidRDefault="00D25726">
      <w:pPr>
        <w:pStyle w:val="InfoPara"/>
      </w:pPr>
      <w:r>
        <w:t>Adjacency or Identification Concerns</w:t>
      </w:r>
    </w:p>
    <w:p w:rsidR="00D25726" w:rsidP="00D25726" w:rsidRDefault="00D25726">
      <w:r>
        <w:lastRenderedPageBreak/>
        <w:t>Not to be confused with Central Texas Coast Live Oak Savanna that is found adjacent to this system but is more susceptible to fire events. Oak mottes of the Central Texas Coast Live Oak Savanna are characterized by the presence of a high grass component and mid-shrub overstory that is not found in this system. This system is also adjacent to the South Texas Sand Sheet Grassland (1442).</w:t>
      </w:r>
    </w:p>
    <w:p w:rsidR="00D25726" w:rsidP="00D25726" w:rsidRDefault="00D25726">
      <w:pPr>
        <w:pStyle w:val="InfoPara"/>
      </w:pPr>
      <w:r>
        <w:t>Issues or Problems</w:t>
      </w:r>
    </w:p>
    <w:p w:rsidR="00D25726" w:rsidP="00D25726" w:rsidRDefault="00D25726">
      <w:r>
        <w:t>Urban development of barrier islands and along the coast has reduced the historic range of this system on the central coast. Small pockets of this habitat type can be found along the Aransas National Wildlife Refuge, Goose Island State Park</w:t>
      </w:r>
      <w:r w:rsidR="008C3846">
        <w:t>,</w:t>
      </w:r>
      <w:r>
        <w:t xml:space="preserve"> and south towards Ingleside in San Patricio County. Further development along the coastal area could result in this already limited system disappearing altogether.</w:t>
      </w:r>
    </w:p>
    <w:p w:rsidR="00D25726" w:rsidP="00D25726" w:rsidRDefault="00D25726">
      <w:pPr>
        <w:pStyle w:val="InfoPara"/>
      </w:pPr>
      <w:r>
        <w:t>Native Uncharacteristic Conditions</w:t>
      </w:r>
    </w:p>
    <w:p w:rsidR="00D25726" w:rsidP="00D25726" w:rsidRDefault="00D25726"/>
    <w:p w:rsidR="00D25726" w:rsidP="00D25726" w:rsidRDefault="00D25726">
      <w:pPr>
        <w:pStyle w:val="InfoPara"/>
      </w:pPr>
      <w:r>
        <w:t>Comments</w:t>
      </w:r>
    </w:p>
    <w:p w:rsidR="00D25726" w:rsidP="00D25726" w:rsidRDefault="00D25726">
      <w:pPr>
        <w:pStyle w:val="ReportSection"/>
      </w:pPr>
      <w:r>
        <w:t>Succession Classes</w:t>
      </w:r>
    </w:p>
    <w:p w:rsidR="00D25726" w:rsidP="00D25726" w:rsidRDefault="00D2572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25726" w:rsidP="00D25726" w:rsidRDefault="00D25726">
      <w:pPr>
        <w:pStyle w:val="InfoPara"/>
        <w:pBdr>
          <w:top w:val="single" w:color="auto" w:sz="4" w:space="1"/>
        </w:pBdr>
      </w:pPr>
      <w:r>
        <w:t>Class A</w:t>
      </w:r>
      <w:r>
        <w:tab/>
        <w:t>26</w:t>
      </w:r>
      <w:r w:rsidR="002A3B10">
        <w:tab/>
      </w:r>
      <w:r w:rsidR="002A3B10">
        <w:tab/>
      </w:r>
      <w:r w:rsidR="002A3B10">
        <w:tab/>
      </w:r>
      <w:r w:rsidR="002A3B10">
        <w:tab/>
      </w:r>
      <w:r w:rsidR="004F7795">
        <w:t>Early Development 1 - All Structures</w:t>
      </w:r>
    </w:p>
    <w:p w:rsidR="00D25726" w:rsidP="00D25726" w:rsidRDefault="00D25726"/>
    <w:p w:rsidR="00D25726" w:rsidP="00D25726" w:rsidRDefault="00D25726">
      <w:pPr>
        <w:pStyle w:val="SClassInfoPara"/>
      </w:pPr>
      <w:r>
        <w:t>Indicator Species</w:t>
      </w:r>
    </w:p>
    <w:p w:rsidR="00D25726" w:rsidP="00D25726" w:rsidRDefault="00D25726"/>
    <w:p w:rsidR="00D25726" w:rsidP="00D25726" w:rsidRDefault="00D25726">
      <w:pPr>
        <w:pStyle w:val="SClassInfoPara"/>
      </w:pPr>
      <w:r>
        <w:t>Description</w:t>
      </w:r>
    </w:p>
    <w:p w:rsidR="00D25726" w:rsidP="00D25726" w:rsidRDefault="00D25726">
      <w:r>
        <w:t>This class develops after a wind disturbance and is characterized by young trees with limited to no grass understory.</w:t>
      </w:r>
    </w:p>
    <w:p w:rsidR="00D25726" w:rsidP="00D25726" w:rsidRDefault="00D25726"/>
    <w:p w:rsidR="00D25726" w:rsidP="00D25726" w:rsidRDefault="00D25726">
      <w:r>
        <w:t>The maintenance wind event was not modeled because LANDFIRE rules specify that for a given disturbance type to occur more than once in the same class, each occurrence must result in a different successional pathway. In this case</w:t>
      </w:r>
      <w:r w:rsidR="008C3846">
        <w:t>,</w:t>
      </w:r>
      <w:r>
        <w:t xml:space="preserve"> both wind events resulted in a transition to class A so only one could be modeled. It should </w:t>
      </w:r>
      <w:r w:rsidR="00036449">
        <w:t>be noted that removing the</w:t>
      </w:r>
      <w:r>
        <w:t xml:space="preserve"> maintenance wind event from the model did not change the model results.</w:t>
      </w:r>
    </w:p>
    <w:p w:rsidR="00D25726" w:rsidP="00D25726" w:rsidRDefault="00D25726"/>
    <w:p>
      <w:r>
        <w:rPr>
          <w:i/>
          <w:u w:val="single"/>
        </w:rPr>
        <w:t>Maximum Tree Size Class</w:t>
      </w:r>
      <w:br/>
      <w:r>
        <w:t>Medium 9-21"DBH</w:t>
      </w:r>
    </w:p>
    <w:p w:rsidR="00D25726" w:rsidP="00D25726" w:rsidRDefault="00D25726">
      <w:pPr>
        <w:pStyle w:val="InfoPara"/>
        <w:pBdr>
          <w:top w:val="single" w:color="auto" w:sz="4" w:space="1"/>
        </w:pBdr>
      </w:pPr>
      <w:r>
        <w:t>Class B</w:t>
      </w:r>
      <w:r>
        <w:tab/>
        <w:t>74</w:t>
      </w:r>
      <w:r w:rsidR="002A3B10">
        <w:tab/>
      </w:r>
      <w:r w:rsidR="002A3B10">
        <w:tab/>
      </w:r>
      <w:r w:rsidR="002A3B10">
        <w:tab/>
      </w:r>
      <w:r w:rsidR="002A3B10">
        <w:tab/>
      </w:r>
      <w:r w:rsidR="004F7795">
        <w:t>Late Development 1 - Closed</w:t>
      </w:r>
    </w:p>
    <w:p w:rsidR="00D25726" w:rsidP="00D25726" w:rsidRDefault="00D25726"/>
    <w:p w:rsidR="00D25726" w:rsidP="00D25726" w:rsidRDefault="00D25726">
      <w:pPr>
        <w:pStyle w:val="SClassInfoPara"/>
      </w:pPr>
      <w:r>
        <w:t>Indicator Species</w:t>
      </w:r>
    </w:p>
    <w:p w:rsidR="00D25726" w:rsidP="00D25726" w:rsidRDefault="00D25726"/>
    <w:p w:rsidR="00D25726" w:rsidP="00D25726" w:rsidRDefault="00D25726">
      <w:pPr>
        <w:pStyle w:val="SClassInfoPara"/>
      </w:pPr>
      <w:r>
        <w:t>Description</w:t>
      </w:r>
    </w:p>
    <w:p w:rsidR="00D25726" w:rsidP="00D25726" w:rsidRDefault="00D25726">
      <w:r>
        <w:t>This class is characterized by large mature closed canopy forest. Some of the oldest and largest oaks in Texas are found in this class.</w:t>
      </w:r>
    </w:p>
    <w:p w:rsidR="00D25726" w:rsidP="00D25726" w:rsidRDefault="00D25726"/>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25726" w:rsidP="00D25726" w:rsidRDefault="00D25726">
      <w:r>
        <w:t>McAlister, Wayne H. and Martha K. McAlister.</w:t>
      </w:r>
      <w:r w:rsidR="00087123">
        <w:t xml:space="preserve"> </w:t>
      </w:r>
      <w:r>
        <w:t>1995. Aransas: A Naturalist’s Guide. University of Texas Press, Austin, TX.</w:t>
      </w:r>
    </w:p>
    <w:p w:rsidR="00D25726" w:rsidP="00D25726" w:rsidRDefault="00D25726"/>
    <w:p w:rsidR="00D25726" w:rsidP="00D25726" w:rsidRDefault="00D25726">
      <w:r>
        <w:t>NatureServe. 2007. International Ecological Classification Standard: Terrestrial Ecological Classifications. NatureServe Central Databases. Arlington, VA, U.S.A. Data current as of 10 February 2007.</w:t>
      </w:r>
    </w:p>
    <w:p w:rsidR="00D25726" w:rsidP="00D25726" w:rsidRDefault="00D25726"/>
    <w:p w:rsidR="00D25726" w:rsidP="00D25726" w:rsidRDefault="00D25726">
      <w:r>
        <w:t>USDA Soil Conservation Service and TAES. 1984. Soil Survey of Refugio County, Texas.</w:t>
      </w:r>
    </w:p>
    <w:p w:rsidR="00D25726" w:rsidP="00D25726" w:rsidRDefault="00D25726"/>
    <w:p w:rsidR="00D25726" w:rsidP="00D25726" w:rsidRDefault="00D25726">
      <w:r>
        <w:t>USDA Soil Conservation Service and TAES. 1992. Soil Survey of Nueces County, Texas.</w:t>
      </w:r>
    </w:p>
    <w:p w:rsidRPr="00A43E41" w:rsidR="004D5F12" w:rsidP="00D2572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DBD" w:rsidRDefault="00BC6DBD">
      <w:r>
        <w:separator/>
      </w:r>
    </w:p>
  </w:endnote>
  <w:endnote w:type="continuationSeparator" w:id="0">
    <w:p w:rsidR="00BC6DBD" w:rsidRDefault="00BC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726" w:rsidRDefault="00D25726" w:rsidP="00D257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DBD" w:rsidRDefault="00BC6DBD">
      <w:r>
        <w:separator/>
      </w:r>
    </w:p>
  </w:footnote>
  <w:footnote w:type="continuationSeparator" w:id="0">
    <w:p w:rsidR="00BC6DBD" w:rsidRDefault="00BC6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257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55CE8"/>
    <w:pPr>
      <w:ind w:left="720"/>
    </w:pPr>
    <w:rPr>
      <w:rFonts w:ascii="Calibri" w:eastAsia="Calibri" w:hAnsi="Calibri"/>
      <w:sz w:val="22"/>
      <w:szCs w:val="22"/>
    </w:rPr>
  </w:style>
  <w:style w:type="character" w:styleId="Hyperlink">
    <w:name w:val="Hyperlink"/>
    <w:rsid w:val="00455CE8"/>
    <w:rPr>
      <w:color w:val="0000FF"/>
      <w:u w:val="single"/>
    </w:rPr>
  </w:style>
  <w:style w:type="paragraph" w:styleId="BalloonText">
    <w:name w:val="Balloon Text"/>
    <w:basedOn w:val="Normal"/>
    <w:link w:val="BalloonTextChar"/>
    <w:uiPriority w:val="99"/>
    <w:semiHidden/>
    <w:unhideWhenUsed/>
    <w:rsid w:val="008C38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8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2857">
      <w:bodyDiv w:val="1"/>
      <w:marLeft w:val="0"/>
      <w:marRight w:val="0"/>
      <w:marTop w:val="0"/>
      <w:marBottom w:val="0"/>
      <w:divBdr>
        <w:top w:val="none" w:sz="0" w:space="0" w:color="auto"/>
        <w:left w:val="none" w:sz="0" w:space="0" w:color="auto"/>
        <w:bottom w:val="none" w:sz="0" w:space="0" w:color="auto"/>
        <w:right w:val="none" w:sz="0" w:space="0" w:color="auto"/>
      </w:divBdr>
    </w:div>
    <w:div w:id="17963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2014-08-21T14:48:00Z</cp:lastPrinted>
  <dcterms:created xsi:type="dcterms:W3CDTF">2018-04-24T23:04:00Z</dcterms:created>
  <dcterms:modified xsi:type="dcterms:W3CDTF">2025-02-12T09:41:47Z</dcterms:modified>
</cp:coreProperties>
</file>