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9A" w:rsidP="00646F53" w:rsidRDefault="007F7C9A">
      <w:pPr>
        <w:pStyle w:val="BpSTitle"/>
      </w:pPr>
      <w:r>
        <w:t>13760</w:t>
      </w:r>
    </w:p>
    <w:p w:rsidR="00646F53" w:rsidP="00646F53" w:rsidRDefault="00646F53">
      <w:pPr>
        <w:pStyle w:val="BpSTitle"/>
      </w:pPr>
      <w:r>
        <w:t>Southern Ridge and Valley/Cumberland Dry Calcareous Forest</w:t>
      </w:r>
    </w:p>
    <w:p w:rsidR="00646F53" w:rsidP="00646F53" w:rsidRDefault="00646F53">
      <w:r>
        <w:t>BpS Model/Description Version: Aug. 2020</w:t>
      </w:r>
      <w:r>
        <w:tab/>
      </w:r>
      <w:r>
        <w:tab/>
      </w:r>
      <w:r>
        <w:tab/>
      </w:r>
      <w:r>
        <w:tab/>
      </w:r>
      <w:r>
        <w:tab/>
      </w:r>
      <w:r>
        <w:tab/>
      </w:r>
      <w:r>
        <w:tab/>
      </w:r>
    </w:p>
    <w:p w:rsidR="00646F53" w:rsidP="00646F53" w:rsidRDefault="00C26D02">
      <w:r>
        <w:tab/>
      </w:r>
      <w:r>
        <w:tab/>
      </w:r>
      <w:r>
        <w:tab/>
      </w:r>
      <w:r>
        <w:tab/>
      </w:r>
      <w:r>
        <w:tab/>
      </w:r>
      <w:r>
        <w:tab/>
      </w:r>
      <w:r>
        <w:tab/>
      </w:r>
      <w:r>
        <w:tab/>
      </w:r>
      <w:r>
        <w:tab/>
      </w:r>
      <w:r>
        <w:tab/>
        <w:t>Update: 4/19/2018</w:t>
      </w:r>
    </w:p>
    <w:p w:rsidR="00646F53" w:rsidP="00646F53" w:rsidRDefault="00646F53"/>
    <w:p w:rsidR="00646F53" w:rsidP="00646F53" w:rsidRDefault="00646F53">
      <w:pPr>
        <w:pStyle w:val="InfoPara"/>
      </w:pPr>
      <w:r>
        <w:t>Vegetation Type</w:t>
      </w:r>
    </w:p>
    <w:p w:rsidR="00646F53" w:rsidP="00646F53" w:rsidRDefault="00646F53">
      <w:r>
        <w:t>Forest and Woodland</w:t>
      </w:r>
    </w:p>
    <w:p w:rsidR="00646F53" w:rsidP="00646F53" w:rsidRDefault="00646F53">
      <w:pPr>
        <w:pStyle w:val="InfoPara"/>
      </w:pPr>
      <w:r>
        <w:t>Map Zones</w:t>
      </w:r>
    </w:p>
    <w:p w:rsidR="007F7C9A" w:rsidP="00646F53" w:rsidRDefault="00E00946">
      <w:r>
        <w:t xml:space="preserve">48, 53, 57, </w:t>
      </w:r>
      <w:r w:rsidR="007F7C9A">
        <w:t>61</w:t>
      </w:r>
    </w:p>
    <w:p w:rsidR="00646F53" w:rsidP="00646F53" w:rsidRDefault="00646F53">
      <w:pPr>
        <w:pStyle w:val="InfoPara"/>
      </w:pPr>
      <w:r>
        <w:t>Geographic Range</w:t>
      </w:r>
    </w:p>
    <w:p w:rsidR="00646F53" w:rsidP="00646F53" w:rsidRDefault="00646F53">
      <w:r>
        <w:t>This system includes dry to dry mesic calcareous forests of the Southern Ridge and Valley region of A</w:t>
      </w:r>
      <w:r w:rsidR="00C26D02">
        <w:t>labama</w:t>
      </w:r>
      <w:r>
        <w:t xml:space="preserve"> and G</w:t>
      </w:r>
      <w:r w:rsidR="00C26D02">
        <w:t>eorgia</w:t>
      </w:r>
      <w:r>
        <w:t>, extending north into T</w:t>
      </w:r>
      <w:r w:rsidR="00C26D02">
        <w:t>ennessee</w:t>
      </w:r>
      <w:r>
        <w:t>, K</w:t>
      </w:r>
      <w:r w:rsidR="00C26D02">
        <w:t>entucky</w:t>
      </w:r>
      <w:r>
        <w:t>, V</w:t>
      </w:r>
      <w:r w:rsidR="00C26D02">
        <w:t>irginia</w:t>
      </w:r>
      <w:r>
        <w:t xml:space="preserve"> and adjacent W</w:t>
      </w:r>
      <w:r w:rsidR="00C26D02">
        <w:t xml:space="preserve">est </w:t>
      </w:r>
      <w:r>
        <w:t>V</w:t>
      </w:r>
      <w:r w:rsidR="00C26D02">
        <w:t>irginia</w:t>
      </w:r>
      <w:r>
        <w:t>. It includes calcareous forests on lower escarpments of the Cumberland Plateau and other related areas.</w:t>
      </w:r>
    </w:p>
    <w:p w:rsidR="00646F53" w:rsidP="00646F53" w:rsidRDefault="00646F53">
      <w:pPr>
        <w:pStyle w:val="InfoPara"/>
      </w:pPr>
      <w:r>
        <w:t>Biophysical Site Description</w:t>
      </w:r>
    </w:p>
    <w:p w:rsidR="00646F53" w:rsidP="00646F53" w:rsidRDefault="00646F53">
      <w:r>
        <w:t>Examples of this forest and woodland system occur usually on dry sites, on a variety of topographic and landscape positions including slopes (particularly south- and west-facing ones), ridges, and knobs, depending on where the base-rich rock is present or crops out, and where the soils are influenced by calcareous/circumneutral geology. Elevation is generally between 200</w:t>
      </w:r>
      <w:r w:rsidR="00C26D02">
        <w:t>-</w:t>
      </w:r>
      <w:r>
        <w:t xml:space="preserve"> 500m.</w:t>
      </w:r>
    </w:p>
    <w:p w:rsidR="00646F53" w:rsidP="00646F53" w:rsidRDefault="00646F53">
      <w:pPr>
        <w:pStyle w:val="InfoPara"/>
      </w:pPr>
      <w:r>
        <w:t>Vegetation Description</w:t>
      </w:r>
    </w:p>
    <w:p w:rsidR="00646F53" w:rsidP="00646F53" w:rsidRDefault="00646F53">
      <w:r>
        <w:t xml:space="preserve">Oaks dominate the overstory of most natural stands, if they have not been preferentially removed. Tree species include white oak, post oak, chinquapin oak, Shumard oak, black oak, and hickory species with eastern redcedar, possibly mixed with shortleaf pine. </w:t>
      </w:r>
      <w:proofErr w:type="spellStart"/>
      <w:r>
        <w:t>Midstory</w:t>
      </w:r>
      <w:proofErr w:type="spellEnd"/>
      <w:r>
        <w:t xml:space="preserve"> species in natural systems are primarily oak , but can include sugar maple, American beech, dogwood, hickories, ashes, elms, hackberry/sugarberry, Eastern redcedar, hop-hornbeam, redbud, black locust, black cherry, sassafras, and possibly sprouts of American chestnut. Eastern redcedar coverage will be limited or reduced in examples with more frequent fire, but it may dominate a </w:t>
      </w:r>
      <w:proofErr w:type="spellStart"/>
      <w:r>
        <w:t>midstory</w:t>
      </w:r>
      <w:proofErr w:type="spellEnd"/>
      <w:r>
        <w:t xml:space="preserve"> layer in conditions of infrequent fire. The shrub layer is typically characterized by non-</w:t>
      </w:r>
      <w:proofErr w:type="spellStart"/>
      <w:r>
        <w:t>ericads</w:t>
      </w:r>
      <w:proofErr w:type="spellEnd"/>
      <w:r>
        <w:t xml:space="preserve"> (but possibly with </w:t>
      </w:r>
      <w:proofErr w:type="spellStart"/>
      <w:r>
        <w:t>deerberry</w:t>
      </w:r>
      <w:proofErr w:type="spellEnd"/>
      <w:r>
        <w:t xml:space="preserve"> [</w:t>
      </w:r>
      <w:r w:rsidRPr="00C26D02">
        <w:rPr>
          <w:i/>
        </w:rPr>
        <w:t xml:space="preserve">Vaccinium </w:t>
      </w:r>
      <w:proofErr w:type="spellStart"/>
      <w:r w:rsidRPr="00C26D02">
        <w:rPr>
          <w:i/>
        </w:rPr>
        <w:t>stamineum</w:t>
      </w:r>
      <w:proofErr w:type="spellEnd"/>
      <w:r>
        <w:t xml:space="preserve">]), </w:t>
      </w:r>
      <w:r w:rsidRPr="00C26D02">
        <w:rPr>
          <w:i/>
        </w:rPr>
        <w:t xml:space="preserve">Viburnum </w:t>
      </w:r>
      <w:r>
        <w:t xml:space="preserve">species, </w:t>
      </w:r>
      <w:proofErr w:type="spellStart"/>
      <w:r w:rsidRPr="00C26D02">
        <w:rPr>
          <w:i/>
        </w:rPr>
        <w:t>Crataegus</w:t>
      </w:r>
      <w:proofErr w:type="spellEnd"/>
      <w:r w:rsidRPr="00C26D02">
        <w:rPr>
          <w:i/>
        </w:rPr>
        <w:t xml:space="preserve"> </w:t>
      </w:r>
      <w:r>
        <w:t xml:space="preserve">species, and </w:t>
      </w:r>
      <w:proofErr w:type="spellStart"/>
      <w:r w:rsidRPr="00C26D02">
        <w:rPr>
          <w:i/>
        </w:rPr>
        <w:t>Philadelphus</w:t>
      </w:r>
      <w:proofErr w:type="spellEnd"/>
      <w:r>
        <w:t xml:space="preserve"> species. Ground cover typically includes little bluestem (</w:t>
      </w:r>
      <w:proofErr w:type="spellStart"/>
      <w:r w:rsidRPr="00C26D02">
        <w:rPr>
          <w:i/>
        </w:rPr>
        <w:t>Schizachyrium</w:t>
      </w:r>
      <w:proofErr w:type="spellEnd"/>
      <w:r w:rsidRPr="00C26D02">
        <w:rPr>
          <w:i/>
        </w:rPr>
        <w:t xml:space="preserve"> </w:t>
      </w:r>
      <w:proofErr w:type="spellStart"/>
      <w:r w:rsidRPr="00C26D02">
        <w:rPr>
          <w:i/>
        </w:rPr>
        <w:t>scoparium</w:t>
      </w:r>
      <w:proofErr w:type="spellEnd"/>
      <w:r>
        <w:t>), Yellow Indian grass (</w:t>
      </w:r>
      <w:proofErr w:type="spellStart"/>
      <w:r w:rsidRPr="00C26D02">
        <w:rPr>
          <w:i/>
        </w:rPr>
        <w:t>Sorghastrum</w:t>
      </w:r>
      <w:proofErr w:type="spellEnd"/>
      <w:r w:rsidRPr="00C26D02">
        <w:rPr>
          <w:i/>
        </w:rPr>
        <w:t xml:space="preserve"> </w:t>
      </w:r>
      <w:proofErr w:type="spellStart"/>
      <w:r w:rsidRPr="00C26D02">
        <w:rPr>
          <w:i/>
        </w:rPr>
        <w:t>nutans</w:t>
      </w:r>
      <w:proofErr w:type="spellEnd"/>
      <w:r>
        <w:t xml:space="preserve">), </w:t>
      </w:r>
      <w:proofErr w:type="spellStart"/>
      <w:r w:rsidRPr="00C26D02">
        <w:t>calciphilic</w:t>
      </w:r>
      <w:proofErr w:type="spellEnd"/>
      <w:r>
        <w:t xml:space="preserve"> sedges (</w:t>
      </w:r>
      <w:proofErr w:type="spellStart"/>
      <w:r w:rsidRPr="00C26D02">
        <w:rPr>
          <w:i/>
        </w:rPr>
        <w:t>Carex</w:t>
      </w:r>
      <w:proofErr w:type="spellEnd"/>
      <w:r>
        <w:t xml:space="preserve"> spp.) and a variety of herbaceous plants. More mesic inclusions may have serviceberry, basswood, or American holly in the tree layers and </w:t>
      </w:r>
      <w:r w:rsidRPr="00C26D02">
        <w:rPr>
          <w:i/>
        </w:rPr>
        <w:t>Viburnum</w:t>
      </w:r>
      <w:r>
        <w:t xml:space="preserve">, dogwood, </w:t>
      </w:r>
      <w:proofErr w:type="spellStart"/>
      <w:r>
        <w:t>sawbrier</w:t>
      </w:r>
      <w:proofErr w:type="spellEnd"/>
      <w:r>
        <w:t xml:space="preserve"> (</w:t>
      </w:r>
      <w:r w:rsidRPr="00C26D02">
        <w:rPr>
          <w:i/>
        </w:rPr>
        <w:t xml:space="preserve">Smilax </w:t>
      </w:r>
      <w:proofErr w:type="spellStart"/>
      <w:r w:rsidRPr="00C26D02">
        <w:rPr>
          <w:i/>
        </w:rPr>
        <w:t>glauca</w:t>
      </w:r>
      <w:proofErr w:type="spellEnd"/>
      <w:r>
        <w:t>), greenbrier (</w:t>
      </w:r>
      <w:r w:rsidRPr="00C26D02">
        <w:rPr>
          <w:i/>
        </w:rPr>
        <w:t xml:space="preserve">Smilax </w:t>
      </w:r>
      <w:proofErr w:type="spellStart"/>
      <w:r w:rsidRPr="00C26D02">
        <w:rPr>
          <w:i/>
        </w:rPr>
        <w:t>rotundifolia</w:t>
      </w:r>
      <w:proofErr w:type="spellEnd"/>
      <w:r>
        <w:t>), wild grape (</w:t>
      </w:r>
      <w:proofErr w:type="spellStart"/>
      <w:r w:rsidRPr="00C26D02">
        <w:rPr>
          <w:i/>
        </w:rPr>
        <w:t>Vitis</w:t>
      </w:r>
      <w:proofErr w:type="spellEnd"/>
      <w:r w:rsidRPr="00C26D02">
        <w:rPr>
          <w:i/>
        </w:rPr>
        <w:t xml:space="preserve"> </w:t>
      </w:r>
      <w:r>
        <w:t>spp.), and others in the shrub layer. Without periodic fire, advanced oak regeneration is usually absent except on xeric sites. With even shorter fire return intervals (or more intense growing-season burns) successional shifts of oak forest and woodlands to savannas or to woodlands are possible.</w:t>
      </w:r>
    </w:p>
    <w:p w:rsidR="00646F53" w:rsidP="00646F53" w:rsidRDefault="00646F53">
      <w:pPr>
        <w:pStyle w:val="InfoPara"/>
      </w:pPr>
      <w:r>
        <w:lastRenderedPageBreak/>
        <w:t>BpS Dominant and Indicator Species</w:t>
      </w:r>
    </w:p>
    <w:p>
      <w:r>
        <w:rPr>
          <w:sz w:val="16"/>
        </w:rPr>
        <w:t>Species names are from the NRCS PLANTS database. Check species codes at http://plants.usda.gov.</w:t>
      </w:r>
    </w:p>
    <w:p w:rsidR="00646F53" w:rsidP="00646F53" w:rsidRDefault="00646F53">
      <w:pPr>
        <w:pStyle w:val="InfoPara"/>
      </w:pPr>
      <w:r>
        <w:t>Disturbance Description</w:t>
      </w:r>
    </w:p>
    <w:p w:rsidR="00646F53" w:rsidP="00646F53" w:rsidRDefault="00646F53">
      <w:r>
        <w:t>Fire regime group I, with frequent surface fires. Pre-settlement fire return intervals are believed to have ranged from 3-14yrs. Natural fire regimes were primarily surface fires during the dormant season with occasional growing season mosaic fires (most likely occurring infrequently once or twice every 20-25yrs).</w:t>
      </w:r>
    </w:p>
    <w:p w:rsidR="00646F53" w:rsidP="00646F53" w:rsidRDefault="00646F53"/>
    <w:p w:rsidR="00646F53" w:rsidP="00646F53" w:rsidRDefault="00646F53">
      <w:r>
        <w:t>Windthrow and ice damage can be important agents in opening the canopy.</w:t>
      </w:r>
    </w:p>
    <w:p w:rsidR="00646F53" w:rsidP="00646F53" w:rsidRDefault="00646F53">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6F53" w:rsidP="00646F53" w:rsidRDefault="00646F53">
      <w:pPr>
        <w:pStyle w:val="InfoPara"/>
      </w:pPr>
      <w:r>
        <w:t>Scale Description</w:t>
      </w:r>
    </w:p>
    <w:p w:rsidR="00646F53" w:rsidP="00646F53" w:rsidRDefault="00646F53">
      <w:r>
        <w:t>This is a large-patch type, generally occupying distinct physiographic settings (ridges, upper slopes, lower south and west-facing slopes) on the order of 100s of hectares, rather than extending over large continuous areas.</w:t>
      </w:r>
    </w:p>
    <w:p w:rsidR="00646F53" w:rsidP="00646F53" w:rsidRDefault="00646F53">
      <w:pPr>
        <w:pStyle w:val="InfoPara"/>
      </w:pPr>
      <w:r>
        <w:t>Adjacency or Identification Concerns</w:t>
      </w:r>
    </w:p>
    <w:p w:rsidR="00646F53" w:rsidP="00646F53" w:rsidRDefault="00646F53">
      <w:r>
        <w:t>In the absence of fire, mesophytic species (e.g. yellow poplar, sugar/red maples and others) could replace oaks over time. Widespread oak decline could dramatically change dominance regimes. Nonnative invasive plant species (most notably Ailanthus, Asiatic bittersweet, Japanese honeysuckle, and kudzu) along with insects (most notably gypsy moth) can also exacerbate community shifts.</w:t>
      </w:r>
    </w:p>
    <w:p w:rsidR="00646F53" w:rsidP="00646F53" w:rsidRDefault="00646F53">
      <w:pPr>
        <w:pStyle w:val="InfoPara"/>
      </w:pPr>
      <w:r>
        <w:t>Issues or Problems</w:t>
      </w:r>
    </w:p>
    <w:p w:rsidR="00646F53" w:rsidP="00646F53" w:rsidRDefault="00646F53">
      <w:r>
        <w:t>The F</w:t>
      </w:r>
      <w:r w:rsidR="00C26D02">
        <w:t xml:space="preserve">ire </w:t>
      </w:r>
      <w:r>
        <w:t>R</w:t>
      </w:r>
      <w:r w:rsidR="00C26D02">
        <w:t xml:space="preserve">egime </w:t>
      </w:r>
      <w:r>
        <w:t>C</w:t>
      </w:r>
      <w:r w:rsidR="00C26D02">
        <w:t xml:space="preserve">ondition </w:t>
      </w:r>
      <w:r>
        <w:t>C</w:t>
      </w:r>
      <w:r w:rsidR="00C26D02">
        <w:t>lass</w:t>
      </w:r>
      <w:r>
        <w:t xml:space="preserve"> type was originally described for </w:t>
      </w:r>
      <w:proofErr w:type="spellStart"/>
      <w:r>
        <w:t>Cumberlands</w:t>
      </w:r>
      <w:proofErr w:type="spellEnd"/>
      <w:r>
        <w:t xml:space="preserve"> and Southern Appalachians, but the concept incudes the most exposed mid-elevation ridges and lower slopes of the Cumberland Plateau escarpment, where base-rich rocks and resultant soils are present.</w:t>
      </w:r>
    </w:p>
    <w:p w:rsidR="00646F53" w:rsidP="00646F53" w:rsidRDefault="00646F53">
      <w:pPr>
        <w:pStyle w:val="InfoPara"/>
      </w:pPr>
      <w:r>
        <w:t>Native Uncharacteristic Conditions</w:t>
      </w:r>
    </w:p>
    <w:p w:rsidR="00646F53" w:rsidP="00646F53" w:rsidRDefault="00646F53"/>
    <w:p w:rsidR="00646F53" w:rsidP="00646F53" w:rsidRDefault="00646F53">
      <w:pPr>
        <w:pStyle w:val="InfoPara"/>
      </w:pPr>
      <w:r>
        <w:t>Comments</w:t>
      </w:r>
    </w:p>
    <w:p w:rsidR="00C0270E" w:rsidP="00C0270E" w:rsidRDefault="00C0270E">
      <w:pPr>
        <w:rPr>
          <w:b/>
        </w:rPr>
      </w:pPr>
    </w:p>
    <w:p w:rsidR="00C0270E" w:rsidP="00C0270E" w:rsidRDefault="00C0270E">
      <w:pPr>
        <w:rPr>
          <w:b/>
        </w:rPr>
      </w:pPr>
    </w:p>
    <w:p w:rsidR="00646F53" w:rsidP="00646F53" w:rsidRDefault="00646F53">
      <w:pPr>
        <w:pStyle w:val="ReportSection"/>
      </w:pPr>
      <w:r>
        <w:t>Succession Classes</w:t>
      </w:r>
    </w:p>
    <w:p w:rsidR="00646F53" w:rsidP="00646F53" w:rsidRDefault="00646F5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6F53" w:rsidP="00646F53" w:rsidRDefault="00646F53">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646F53" w:rsidP="00646F53" w:rsidRDefault="00646F53"/>
    <w:p w:rsidR="00646F53" w:rsidP="00646F53" w:rsidRDefault="00646F53">
      <w:pPr>
        <w:pStyle w:val="SClassInfoPara"/>
      </w:pPr>
      <w:r>
        <w:t>Indicator Species</w:t>
      </w:r>
    </w:p>
    <w:p w:rsidR="00646F53" w:rsidP="00646F53" w:rsidRDefault="00646F53"/>
    <w:p w:rsidR="00646F53" w:rsidP="00646F53" w:rsidRDefault="00646F53">
      <w:pPr>
        <w:pStyle w:val="SClassInfoPara"/>
      </w:pPr>
      <w:r>
        <w:t>Description</w:t>
      </w:r>
    </w:p>
    <w:p w:rsidR="00646F53" w:rsidP="00646F53" w:rsidRDefault="00646F53">
      <w:r>
        <w:t xml:space="preserve">Oak and Eastern red-cedar reproduction to 15ft tall and </w:t>
      </w:r>
      <w:r w:rsidR="00C26D02">
        <w:t>~</w:t>
      </w:r>
      <w:r>
        <w:t xml:space="preserve">15yrs old. Community of forbs and perennial grasses. More persistent on dry sites. Openings tend to be small and have scattered live trees. &lt;25% tree canopy cover. </w:t>
      </w:r>
    </w:p>
    <w:p w:rsidR="00BF5E2F" w:rsidP="00646F53" w:rsidRDefault="00BF5E2F"/>
    <w:p w:rsidR="00BF5E2F" w:rsidP="00BF5E2F" w:rsidRDefault="00BF5E2F">
      <w:r>
        <w:t>Upper Layer Lifeform is not the dominant lifeform. Some examples are more open, but trees are typically the dominant life form.</w:t>
      </w:r>
    </w:p>
    <w:p w:rsidR="00646F53" w:rsidP="00646F53" w:rsidRDefault="00646F53"/>
    <w:p>
      <w:r>
        <w:rPr>
          <w:i/>
          <w:u w:val="single"/>
        </w:rPr>
        <w:t>Maximum Tree Size Class</w:t>
      </w:r>
      <w:br/>
      <w:r>
        <w:t>Sapling &gt;4.5ft; &lt;5"DBH</w:t>
      </w:r>
    </w:p>
    <w:p w:rsidR="00646F53" w:rsidP="00646F53" w:rsidRDefault="00646F53">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646F53" w:rsidP="00646F53" w:rsidRDefault="00646F53"/>
    <w:p w:rsidR="00646F53" w:rsidP="00646F53" w:rsidRDefault="00646F53">
      <w:pPr>
        <w:pStyle w:val="SClassInfoPara"/>
      </w:pPr>
      <w:r>
        <w:t>Indicator Species</w:t>
      </w:r>
    </w:p>
    <w:p w:rsidR="00646F53" w:rsidP="00646F53" w:rsidRDefault="00646F53"/>
    <w:p w:rsidR="00646F53" w:rsidP="00646F53" w:rsidRDefault="00646F53">
      <w:pPr>
        <w:pStyle w:val="SClassInfoPara"/>
      </w:pPr>
      <w:r>
        <w:t>Description</w:t>
      </w:r>
    </w:p>
    <w:p w:rsidR="00646F53" w:rsidP="00646F53" w:rsidRDefault="00646F53">
      <w:r>
        <w:t xml:space="preserve">Mid-development with closed canopy, oak with Eastern red-cedar with little or no herbaceous understory. Some woody understory development. </w:t>
      </w:r>
      <w:r w:rsidR="00C26D02">
        <w:t>Greater than</w:t>
      </w:r>
      <w:r>
        <w:t xml:space="preserve"> 50% canopy cover (crown closure estimate). In the continued absence of fire, stands may become heavily dominated by E. red-cedar with mesophytic species (e.g. yellow poplar, sugar, red maple, black gum) likely to replace oaks.</w:t>
      </w:r>
    </w:p>
    <w:p w:rsidR="00646F53" w:rsidP="00646F53" w:rsidRDefault="00646F53"/>
    <w:p>
      <w:r>
        <w:rPr>
          <w:i/>
          <w:u w:val="single"/>
        </w:rPr>
        <w:t>Maximum Tree Size Class</w:t>
      </w:r>
      <w:br/>
      <w:r>
        <w:t>Medium 9-21"DBH</w:t>
      </w:r>
    </w:p>
    <w:p w:rsidR="00646F53" w:rsidP="00646F53" w:rsidRDefault="00646F53">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646F53" w:rsidP="00646F53" w:rsidRDefault="00646F53"/>
    <w:p w:rsidR="00646F53" w:rsidP="00646F53" w:rsidRDefault="00646F53">
      <w:pPr>
        <w:pStyle w:val="SClassInfoPara"/>
      </w:pPr>
      <w:r>
        <w:t>Indicator Species</w:t>
      </w:r>
    </w:p>
    <w:p w:rsidR="00646F53" w:rsidP="00646F53" w:rsidRDefault="00646F53"/>
    <w:p w:rsidR="00646F53" w:rsidP="00646F53" w:rsidRDefault="00646F53">
      <w:pPr>
        <w:pStyle w:val="SClassInfoPara"/>
      </w:pPr>
      <w:r>
        <w:t>Description</w:t>
      </w:r>
    </w:p>
    <w:p w:rsidR="00646F53" w:rsidP="00646F53" w:rsidRDefault="00646F53">
      <w:r>
        <w:t xml:space="preserve">Mid-development open canopy. Woodland with herbaceous and/or low shrub understory. Oak (white, post) with limited eastern redcedar &lt;50% canopy cover. </w:t>
      </w:r>
      <w:proofErr w:type="spellStart"/>
      <w:r w:rsidRPr="00C26D02">
        <w:rPr>
          <w:i/>
        </w:rPr>
        <w:t>Schizachyrium</w:t>
      </w:r>
      <w:proofErr w:type="spellEnd"/>
      <w:r w:rsidRPr="00C26D02">
        <w:rPr>
          <w:i/>
        </w:rPr>
        <w:t xml:space="preserve"> </w:t>
      </w:r>
      <w:proofErr w:type="spellStart"/>
      <w:r w:rsidRPr="00C26D02">
        <w:rPr>
          <w:i/>
        </w:rPr>
        <w:t>scoparium</w:t>
      </w:r>
      <w:proofErr w:type="spellEnd"/>
      <w:r>
        <w:t xml:space="preserve"> most typical grass.</w:t>
      </w:r>
    </w:p>
    <w:p w:rsidR="00BF5E2F" w:rsidP="00646F53" w:rsidRDefault="00BF5E2F"/>
    <w:p w:rsidR="00BF5E2F" w:rsidP="00BF5E2F" w:rsidRDefault="00BF5E2F">
      <w:r>
        <w:t>Upper Layer Lifeform is not the dominant lifeform. Ground layer (herbs and sometimes dwarf shrubs) could exceed tree cover, but this is not typical.</w:t>
      </w:r>
    </w:p>
    <w:p w:rsidR="00646F53" w:rsidP="00646F53" w:rsidRDefault="00646F53"/>
    <w:p>
      <w:r>
        <w:rPr>
          <w:i/>
          <w:u w:val="single"/>
        </w:rPr>
        <w:t>Maximum Tree Size Class</w:t>
      </w:r>
      <w:br/>
      <w:r>
        <w:t>Medium 9-21"DBH</w:t>
      </w:r>
    </w:p>
    <w:p w:rsidR="00646F53" w:rsidP="00646F53" w:rsidRDefault="00646F53">
      <w:pPr>
        <w:pStyle w:val="InfoPara"/>
        <w:pBdr>
          <w:top w:val="single" w:color="auto" w:sz="4" w:space="1"/>
        </w:pBdr>
      </w:pPr>
      <w:r>
        <w:t>Class D</w:t>
      </w:r>
      <w:r>
        <w:tab/>
        <w:t>50</w:t>
      </w:r>
      <w:r w:rsidR="002A3B10">
        <w:tab/>
      </w:r>
      <w:r w:rsidR="002A3B10">
        <w:tab/>
      </w:r>
      <w:r w:rsidR="002A3B10">
        <w:tab/>
      </w:r>
      <w:r w:rsidR="002A3B10">
        <w:tab/>
      </w:r>
      <w:r w:rsidR="004F7795">
        <w:t>Late Development 1 - Open</w:t>
      </w:r>
    </w:p>
    <w:p w:rsidR="00646F53" w:rsidP="00646F53" w:rsidRDefault="00646F53"/>
    <w:p w:rsidR="00646F53" w:rsidP="00646F53" w:rsidRDefault="00646F53">
      <w:pPr>
        <w:pStyle w:val="SClassInfoPara"/>
      </w:pPr>
      <w:r>
        <w:t>Indicator Species</w:t>
      </w:r>
    </w:p>
    <w:p w:rsidR="00646F53" w:rsidP="00646F53" w:rsidRDefault="00646F53"/>
    <w:p w:rsidR="00646F53" w:rsidP="00646F53" w:rsidRDefault="00646F53">
      <w:pPr>
        <w:pStyle w:val="SClassInfoPara"/>
      </w:pPr>
      <w:r>
        <w:t>Description</w:t>
      </w:r>
    </w:p>
    <w:p w:rsidR="00646F53" w:rsidP="00646F53" w:rsidRDefault="00646F53">
      <w:r>
        <w:t>Late-development</w:t>
      </w:r>
      <w:r w:rsidR="00BF5E2F">
        <w:t xml:space="preserve"> </w:t>
      </w:r>
      <w:r>
        <w:t xml:space="preserve">open canopy pine-oak to oak-pine in composition. Late-seral </w:t>
      </w:r>
      <w:r w:rsidR="00C26D02">
        <w:t>o</w:t>
      </w:r>
      <w:r>
        <w:t xml:space="preserve">ak woodland (White, Post) with limited Eastern red-cedar &lt;50% canopy cover. </w:t>
      </w:r>
      <w:proofErr w:type="spellStart"/>
      <w:r w:rsidRPr="00C26D02">
        <w:rPr>
          <w:i/>
        </w:rPr>
        <w:t>Schizachyrium</w:t>
      </w:r>
      <w:proofErr w:type="spellEnd"/>
      <w:r w:rsidRPr="00C26D02">
        <w:rPr>
          <w:i/>
        </w:rPr>
        <w:t xml:space="preserve"> </w:t>
      </w:r>
      <w:proofErr w:type="spellStart"/>
      <w:r w:rsidRPr="00C26D02">
        <w:rPr>
          <w:i/>
        </w:rPr>
        <w:t>scoparium</w:t>
      </w:r>
      <w:proofErr w:type="spellEnd"/>
      <w:r>
        <w:t xml:space="preserve"> most typical grass.</w:t>
      </w:r>
    </w:p>
    <w:p w:rsidR="00BF5E2F" w:rsidP="00646F53" w:rsidRDefault="00BF5E2F"/>
    <w:p w:rsidR="00BF5E2F" w:rsidP="00BF5E2F" w:rsidRDefault="00BF5E2F">
      <w:r>
        <w:t>Upper Layer Lifeform is not the dominant lifeform. Ground layer (herbs and sometimes dwarf shrubs) could exceed tree cover, but this is not typical.</w:t>
      </w:r>
    </w:p>
    <w:p w:rsidR="00646F53" w:rsidP="00646F53" w:rsidRDefault="00646F53"/>
    <w:p>
      <w:r>
        <w:rPr>
          <w:i/>
          <w:u w:val="single"/>
        </w:rPr>
        <w:t>Maximum Tree Size Class</w:t>
      </w:r>
      <w:br/>
      <w:r>
        <w:t>Large 21-33"DBH</w:t>
      </w:r>
    </w:p>
    <w:p w:rsidR="00646F53" w:rsidP="00646F53" w:rsidRDefault="00646F53">
      <w:pPr>
        <w:pStyle w:val="InfoPara"/>
        <w:pBdr>
          <w:top w:val="single" w:color="auto" w:sz="4" w:space="1"/>
        </w:pBdr>
      </w:pPr>
      <w:r>
        <w:t>Class E</w:t>
      </w:r>
      <w:r>
        <w:tab/>
        <w:t>15</w:t>
      </w:r>
      <w:r w:rsidR="002A3B10">
        <w:tab/>
      </w:r>
      <w:r w:rsidR="002A3B10">
        <w:tab/>
      </w:r>
      <w:r w:rsidR="002A3B10">
        <w:tab/>
      </w:r>
      <w:r w:rsidR="002A3B10">
        <w:tab/>
      </w:r>
      <w:r w:rsidR="004F7795">
        <w:t>Late Development 1 - Closed</w:t>
      </w:r>
    </w:p>
    <w:p w:rsidR="00646F53" w:rsidP="00646F53" w:rsidRDefault="00646F53"/>
    <w:p w:rsidR="00646F53" w:rsidP="00646F53" w:rsidRDefault="00646F53">
      <w:pPr>
        <w:pStyle w:val="SClassInfoPara"/>
      </w:pPr>
      <w:r>
        <w:lastRenderedPageBreak/>
        <w:t>Indicator Species</w:t>
      </w:r>
    </w:p>
    <w:p w:rsidR="00646F53" w:rsidP="00646F53" w:rsidRDefault="00646F53"/>
    <w:p w:rsidR="00646F53" w:rsidP="00646F53" w:rsidRDefault="00646F53">
      <w:pPr>
        <w:pStyle w:val="SClassInfoPara"/>
      </w:pPr>
      <w:r>
        <w:t>Description</w:t>
      </w:r>
    </w:p>
    <w:p w:rsidR="00646F53" w:rsidP="00646F53" w:rsidRDefault="00646F53">
      <w:r>
        <w:t>Late-seral closed canopy, oak dominated overstory community, possibly with "mesic" species (e.g. Sugar maple) with little herbaceous cover. May have a dense woody shrub understory layer. Canopy gaps occupying 1- 2%, larger openings represent 1- 2% of landscape respectively &gt; 50% canopy cover (crown closure estimate).</w:t>
      </w:r>
    </w:p>
    <w:p w:rsidR="00646F53" w:rsidP="00646F53" w:rsidRDefault="00646F5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46F53" w:rsidP="00646F53" w:rsidRDefault="00646F53">
      <w:r>
        <w:t xml:space="preserve">Abrams, M.D., D.A. </w:t>
      </w:r>
      <w:proofErr w:type="spellStart"/>
      <w:r>
        <w:t>Orwig</w:t>
      </w:r>
      <w:proofErr w:type="spellEnd"/>
      <w:r>
        <w:t xml:space="preserve"> and M.J. </w:t>
      </w:r>
      <w:proofErr w:type="spellStart"/>
      <w:r>
        <w:t>Dockry</w:t>
      </w:r>
      <w:proofErr w:type="spellEnd"/>
      <w:r>
        <w:t>. 1997. Dendroecology and successional status of two contrasting old-growth oak forests in the Blue Ridge Mountains, USA. Can J. For. Res. 27:994-1002.</w:t>
      </w:r>
    </w:p>
    <w:p w:rsidR="00646F53" w:rsidP="00646F53" w:rsidRDefault="00646F53"/>
    <w:p w:rsidR="00646F53" w:rsidP="00646F53" w:rsidRDefault="00646F53">
      <w:r>
        <w:t>Harrod, J.C., M.E. Harmon and P.S. White. 2000. Post-fire succession and 20th century reduction in fire frequency on xeric southern Appalachian sites. J. Veg. Science 11:465-472.</w:t>
      </w:r>
    </w:p>
    <w:p w:rsidR="00646F53" w:rsidP="00646F53" w:rsidRDefault="00646F53"/>
    <w:p w:rsidR="00646F53" w:rsidP="00646F53" w:rsidRDefault="00646F53">
      <w:r>
        <w:t>NatureServe. 2007. International Ecological Classification Standard: Terrestrial Ecological Classifications. NatureServe Central Databases. Arlington, VA, U.S.A. Data current as of 08 June 2007.</w:t>
      </w:r>
    </w:p>
    <w:p w:rsidRPr="00A43E41" w:rsidR="004D5F12" w:rsidP="00646F5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323" w:rsidRDefault="00277323">
      <w:r>
        <w:separator/>
      </w:r>
    </w:p>
  </w:endnote>
  <w:endnote w:type="continuationSeparator" w:id="0">
    <w:p w:rsidR="00277323" w:rsidRDefault="0027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F53" w:rsidRDefault="00646F53" w:rsidP="00646F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323" w:rsidRDefault="00277323">
      <w:r>
        <w:separator/>
      </w:r>
    </w:p>
  </w:footnote>
  <w:footnote w:type="continuationSeparator" w:id="0">
    <w:p w:rsidR="00277323" w:rsidRDefault="00277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46F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00946"/>
    <w:pPr>
      <w:ind w:left="720"/>
    </w:pPr>
    <w:rPr>
      <w:rFonts w:ascii="Calibri" w:eastAsiaTheme="minorHAnsi" w:hAnsi="Calibri"/>
      <w:sz w:val="22"/>
      <w:szCs w:val="22"/>
    </w:rPr>
  </w:style>
  <w:style w:type="character" w:styleId="Hyperlink">
    <w:name w:val="Hyperlink"/>
    <w:basedOn w:val="DefaultParagraphFont"/>
    <w:rsid w:val="00E00946"/>
    <w:rPr>
      <w:color w:val="0000FF" w:themeColor="hyperlink"/>
      <w:u w:val="single"/>
    </w:rPr>
  </w:style>
  <w:style w:type="paragraph" w:styleId="BalloonText">
    <w:name w:val="Balloon Text"/>
    <w:basedOn w:val="Normal"/>
    <w:link w:val="BalloonTextChar"/>
    <w:uiPriority w:val="99"/>
    <w:semiHidden/>
    <w:unhideWhenUsed/>
    <w:rsid w:val="00E00946"/>
    <w:rPr>
      <w:rFonts w:ascii="Tahoma" w:hAnsi="Tahoma" w:cs="Tahoma"/>
      <w:sz w:val="16"/>
      <w:szCs w:val="16"/>
    </w:rPr>
  </w:style>
  <w:style w:type="character" w:customStyle="1" w:styleId="BalloonTextChar">
    <w:name w:val="Balloon Text Char"/>
    <w:basedOn w:val="DefaultParagraphFont"/>
    <w:link w:val="BalloonText"/>
    <w:uiPriority w:val="99"/>
    <w:semiHidden/>
    <w:rsid w:val="00E00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074148">
      <w:bodyDiv w:val="1"/>
      <w:marLeft w:val="0"/>
      <w:marRight w:val="0"/>
      <w:marTop w:val="0"/>
      <w:marBottom w:val="0"/>
      <w:divBdr>
        <w:top w:val="none" w:sz="0" w:space="0" w:color="auto"/>
        <w:left w:val="none" w:sz="0" w:space="0" w:color="auto"/>
        <w:bottom w:val="none" w:sz="0" w:space="0" w:color="auto"/>
        <w:right w:val="none" w:sz="0" w:space="0" w:color="auto"/>
      </w:divBdr>
    </w:div>
    <w:div w:id="196033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2014-08-21T15:09:00Z</cp:lastPrinted>
  <dcterms:created xsi:type="dcterms:W3CDTF">2018-04-19T22:04:00Z</dcterms:created>
  <dcterms:modified xsi:type="dcterms:W3CDTF">2025-02-12T09:41:51Z</dcterms:modified>
</cp:coreProperties>
</file>