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318" w:rsidP="00315318" w:rsidRDefault="00315318" w14:paraId="7A72D14E" w14:textId="77777777">
      <w:pPr>
        <w:pStyle w:val="BpSTitle"/>
      </w:pPr>
      <w:r>
        <w:t>14290</w:t>
      </w:r>
    </w:p>
    <w:p w:rsidR="00315318" w:rsidP="00315318" w:rsidRDefault="00315318" w14:paraId="21D4A3C2" w14:textId="77777777">
      <w:pPr>
        <w:pStyle w:val="BpSTitle"/>
      </w:pPr>
      <w:r>
        <w:t>West Gulf Coastal Plain Southern Calcareous Prairie</w:t>
      </w:r>
    </w:p>
    <w:p w:rsidR="00315318" w:rsidP="00315318" w:rsidRDefault="00315318" w14:paraId="759B1E38" w14:textId="77777777">
      <w:r>
        <w:t>BpS Model/Description Version: Aug. 2020</w:t>
      </w:r>
      <w:r>
        <w:tab/>
      </w:r>
      <w:r>
        <w:tab/>
      </w:r>
      <w:r>
        <w:tab/>
      </w:r>
      <w:r>
        <w:tab/>
      </w:r>
      <w:r>
        <w:tab/>
      </w:r>
      <w:r>
        <w:tab/>
      </w:r>
      <w:r>
        <w:tab/>
      </w:r>
    </w:p>
    <w:p w:rsidR="00315318" w:rsidP="00315318" w:rsidRDefault="00D27B8D" w14:paraId="5AE334E4" w14:textId="77777777">
      <w:r>
        <w:tab/>
      </w:r>
      <w:r>
        <w:tab/>
      </w:r>
      <w:r>
        <w:tab/>
      </w:r>
      <w:r>
        <w:tab/>
      </w:r>
      <w:r>
        <w:tab/>
      </w:r>
      <w:r>
        <w:tab/>
      </w:r>
      <w:r>
        <w:tab/>
      </w:r>
      <w:r>
        <w:tab/>
      </w:r>
      <w:r>
        <w:tab/>
      </w:r>
      <w:r>
        <w:tab/>
        <w:t>Update: 5/30/2018</w:t>
      </w:r>
    </w:p>
    <w:p w:rsidR="00315318" w:rsidP="00315318" w:rsidRDefault="00315318" w14:paraId="38CF44AB" w14:textId="77777777"/>
    <w:p w:rsidR="00315318" w:rsidP="00315318" w:rsidRDefault="00315318" w14:paraId="028A1503" w14:textId="77777777">
      <w:pPr>
        <w:pStyle w:val="InfoPara"/>
      </w:pPr>
      <w:r>
        <w:t>Vegetation Type</w:t>
      </w:r>
    </w:p>
    <w:p w:rsidR="00315318" w:rsidP="00315318" w:rsidRDefault="00315318" w14:paraId="0654D31C" w14:textId="0702D232">
      <w:bookmarkStart w:name="_GoBack" w:id="0"/>
      <w:bookmarkEnd w:id="0"/>
      <w:r>
        <w:t>Herbaceous</w:t>
      </w:r>
    </w:p>
    <w:p w:rsidR="00315318" w:rsidP="00315318" w:rsidRDefault="00315318" w14:paraId="7F33836E" w14:textId="77777777">
      <w:pPr>
        <w:pStyle w:val="InfoPara"/>
      </w:pPr>
      <w:r>
        <w:t>Map Zones</w:t>
      </w:r>
    </w:p>
    <w:p w:rsidR="00315318" w:rsidP="00315318" w:rsidRDefault="00CB4015" w14:paraId="764614E0" w14:textId="77777777">
      <w:r>
        <w:t>37</w:t>
      </w:r>
      <w:r w:rsidR="00224E8D">
        <w:t>,</w:t>
      </w:r>
      <w:r w:rsidR="000407F6">
        <w:t xml:space="preserve"> </w:t>
      </w:r>
      <w:r w:rsidR="00224E8D">
        <w:t>45</w:t>
      </w:r>
    </w:p>
    <w:p w:rsidR="00315318" w:rsidP="00315318" w:rsidRDefault="00315318" w14:paraId="799BC517" w14:textId="77777777">
      <w:pPr>
        <w:pStyle w:val="InfoPara"/>
      </w:pPr>
      <w:r>
        <w:t>Geographic Range</w:t>
      </w:r>
    </w:p>
    <w:p w:rsidR="00315318" w:rsidP="00315318" w:rsidRDefault="00315318" w14:paraId="67E4FCF6" w14:textId="77777777">
      <w:proofErr w:type="spellStart"/>
      <w:r>
        <w:t>L</w:t>
      </w:r>
      <w:r w:rsidR="00D27B8D">
        <w:t>ousiana</w:t>
      </w:r>
      <w:proofErr w:type="spellEnd"/>
      <w:r>
        <w:t xml:space="preserve">: central </w:t>
      </w:r>
      <w:proofErr w:type="spellStart"/>
      <w:r>
        <w:t>L</w:t>
      </w:r>
      <w:r w:rsidR="00D27B8D">
        <w:t>ousiana</w:t>
      </w:r>
      <w:proofErr w:type="spellEnd"/>
      <w:r>
        <w:t xml:space="preserve"> such as Fleming Glade southeast of Alexandria and the </w:t>
      </w:r>
      <w:proofErr w:type="spellStart"/>
      <w:r>
        <w:t>Keiffer</w:t>
      </w:r>
      <w:proofErr w:type="spellEnd"/>
      <w:r>
        <w:t xml:space="preserve"> and </w:t>
      </w:r>
      <w:proofErr w:type="spellStart"/>
      <w:r>
        <w:t>Tancock</w:t>
      </w:r>
      <w:proofErr w:type="spellEnd"/>
      <w:r>
        <w:t xml:space="preserve"> Prairie areas near Winnfield. T</w:t>
      </w:r>
      <w:r w:rsidR="00D27B8D">
        <w:t>exas</w:t>
      </w:r>
      <w:r>
        <w:t xml:space="preserve">: small prairie areas scattered in </w:t>
      </w:r>
      <w:r w:rsidR="00D27B8D">
        <w:t>map zone (</w:t>
      </w:r>
      <w:r>
        <w:t>MZ</w:t>
      </w:r>
      <w:r w:rsidR="00D27B8D">
        <w:t xml:space="preserve">) </w:t>
      </w:r>
      <w:r>
        <w:t>37.</w:t>
      </w:r>
    </w:p>
    <w:p w:rsidR="00315318" w:rsidP="00315318" w:rsidRDefault="00315318" w14:paraId="56C96213" w14:textId="77777777">
      <w:pPr>
        <w:pStyle w:val="InfoPara"/>
      </w:pPr>
      <w:r>
        <w:t>Biophysical Site Description</w:t>
      </w:r>
    </w:p>
    <w:p w:rsidR="00315318" w:rsidP="00315318" w:rsidRDefault="00315318" w14:paraId="06C464A6" w14:textId="77777777">
      <w:r>
        <w:t xml:space="preserve">This prairie system occurs as small polygons within pine-dominated portions of the West Gulf Coastal Plain. The presence of fairly unique soils conditions </w:t>
      </w:r>
      <w:proofErr w:type="gramStart"/>
      <w:r>
        <w:t>exist</w:t>
      </w:r>
      <w:proofErr w:type="gramEnd"/>
      <w:r>
        <w:t xml:space="preserve"> with calcareous clays. This soil prevents the establishment of forested conditions by a combination of low available water during drought and wildfire under pre-European settlement conditions. </w:t>
      </w:r>
      <w:r w:rsidR="00C16AD9">
        <w:t>Typically,</w:t>
      </w:r>
      <w:r>
        <w:t xml:space="preserve"> this occurs in uplands, but occasionally the soils driving the system cross small stream bottoms or riparian areas </w:t>
      </w:r>
      <w:r w:rsidR="00C16AD9">
        <w:t>bisecting</w:t>
      </w:r>
      <w:r>
        <w:t xml:space="preserve"> the prairies. Historically the system is found within the range of longleaf pine. </w:t>
      </w:r>
      <w:proofErr w:type="gramStart"/>
      <w:r>
        <w:t>However</w:t>
      </w:r>
      <w:proofErr w:type="gramEnd"/>
      <w:r>
        <w:t xml:space="preserve"> examples occur in T</w:t>
      </w:r>
      <w:r w:rsidR="00D27B8D">
        <w:t>exas</w:t>
      </w:r>
      <w:r>
        <w:t xml:space="preserve"> west to the eastern edge of the Post Oak Savannah region of east T</w:t>
      </w:r>
      <w:r w:rsidR="00D27B8D">
        <w:t>exas</w:t>
      </w:r>
      <w:r>
        <w:t xml:space="preserve">. Plant communities occur over relatively deep soils with circumneutral surface soil </w:t>
      </w:r>
      <w:proofErr w:type="spellStart"/>
      <w:r>
        <w:t>pH.</w:t>
      </w:r>
      <w:proofErr w:type="spellEnd"/>
      <w:r>
        <w:t xml:space="preserve"> These conditions form an unusual local landscape embedded in a forest system with acidic soils. Most prairie openings form distinct polygons of </w:t>
      </w:r>
      <w:r w:rsidR="00D27B8D">
        <w:t>&lt;1ac</w:t>
      </w:r>
      <w:r>
        <w:t xml:space="preserve"> to 50-100ac or rarely more. A review of survey records from the early 1800s revealed some of these prairies in L</w:t>
      </w:r>
      <w:r w:rsidR="00D27B8D">
        <w:t>ouisiana</w:t>
      </w:r>
      <w:r>
        <w:t xml:space="preserve"> have been nearly or completely lost to woody invasion (Dave Moore, USFS, pers. comm.). An example includes the </w:t>
      </w:r>
      <w:proofErr w:type="spellStart"/>
      <w:r>
        <w:t>Tancock</w:t>
      </w:r>
      <w:proofErr w:type="spellEnd"/>
      <w:r>
        <w:t xml:space="preserve"> Prairie system which was mapped as over 1</w:t>
      </w:r>
      <w:r w:rsidR="000407F6">
        <w:t>,</w:t>
      </w:r>
      <w:r>
        <w:t xml:space="preserve">000ac in early survey records. The </w:t>
      </w:r>
      <w:proofErr w:type="spellStart"/>
      <w:r>
        <w:t>Tancock</w:t>
      </w:r>
      <w:proofErr w:type="spellEnd"/>
      <w:r>
        <w:t xml:space="preserve"> Prairie remnants now form only 5-10ac polygons and roadside remnants. A similar prairie to the east of </w:t>
      </w:r>
      <w:proofErr w:type="spellStart"/>
      <w:r>
        <w:t>Tancock</w:t>
      </w:r>
      <w:proofErr w:type="spellEnd"/>
      <w:r>
        <w:t xml:space="preserve"> cannot be relocated as prairie, but covered about 1</w:t>
      </w:r>
      <w:r w:rsidR="000407F6">
        <w:t>,</w:t>
      </w:r>
      <w:r>
        <w:t>400ac in the early 1800s.</w:t>
      </w:r>
    </w:p>
    <w:p w:rsidR="00315318" w:rsidP="00315318" w:rsidRDefault="00315318" w14:paraId="3755DD71" w14:textId="77777777">
      <w:pPr>
        <w:pStyle w:val="InfoPara"/>
      </w:pPr>
      <w:r>
        <w:t>Vegetation Description</w:t>
      </w:r>
    </w:p>
    <w:p w:rsidR="00315318" w:rsidP="00315318" w:rsidRDefault="00315318" w14:paraId="741D072C" w14:textId="77777777">
      <w:proofErr w:type="spellStart"/>
      <w:r>
        <w:t>Blackland</w:t>
      </w:r>
      <w:proofErr w:type="spellEnd"/>
      <w:r>
        <w:t xml:space="preserve"> prairie flora typically consists of 3-6ft tall grasses and a diverse mix of forbs which flower at various times throughout the growing season. The flora is dominated by little bluestem (</w:t>
      </w:r>
      <w:proofErr w:type="spellStart"/>
      <w:r w:rsidRPr="00C16AD9">
        <w:rPr>
          <w:i/>
        </w:rPr>
        <w:t>Schizachyrium</w:t>
      </w:r>
      <w:proofErr w:type="spellEnd"/>
      <w:r w:rsidRPr="00C16AD9">
        <w:rPr>
          <w:i/>
        </w:rPr>
        <w:t xml:space="preserve"> </w:t>
      </w:r>
      <w:proofErr w:type="spellStart"/>
      <w:r w:rsidRPr="00C16AD9">
        <w:rPr>
          <w:i/>
        </w:rPr>
        <w:t>scoparium</w:t>
      </w:r>
      <w:proofErr w:type="spellEnd"/>
      <w:r>
        <w:t>) and Indian grass (</w:t>
      </w:r>
      <w:proofErr w:type="spellStart"/>
      <w:r w:rsidRPr="00C16AD9">
        <w:rPr>
          <w:i/>
        </w:rPr>
        <w:t>Sorghastum</w:t>
      </w:r>
      <w:proofErr w:type="spellEnd"/>
      <w:r w:rsidRPr="00C16AD9">
        <w:rPr>
          <w:i/>
        </w:rPr>
        <w:t xml:space="preserve"> </w:t>
      </w:r>
      <w:proofErr w:type="spellStart"/>
      <w:r w:rsidRPr="00C16AD9">
        <w:rPr>
          <w:i/>
        </w:rPr>
        <w:t>nutans</w:t>
      </w:r>
      <w:proofErr w:type="spellEnd"/>
      <w:r>
        <w:t xml:space="preserve">). Important associate grasses include </w:t>
      </w:r>
      <w:proofErr w:type="spellStart"/>
      <w:r>
        <w:t>dropseed</w:t>
      </w:r>
      <w:proofErr w:type="spellEnd"/>
      <w:r>
        <w:t xml:space="preserve"> (</w:t>
      </w:r>
      <w:proofErr w:type="spellStart"/>
      <w:r w:rsidRPr="00C16AD9">
        <w:rPr>
          <w:i/>
        </w:rPr>
        <w:t>Sporobolus</w:t>
      </w:r>
      <w:proofErr w:type="spellEnd"/>
      <w:r w:rsidRPr="00C16AD9">
        <w:rPr>
          <w:i/>
        </w:rPr>
        <w:t xml:space="preserve"> </w:t>
      </w:r>
      <w:proofErr w:type="spellStart"/>
      <w:r w:rsidRPr="00C16AD9">
        <w:rPr>
          <w:i/>
        </w:rPr>
        <w:t>clandestinus</w:t>
      </w:r>
      <w:proofErr w:type="spellEnd"/>
      <w:r>
        <w:t>), eastern gamma grass (</w:t>
      </w:r>
      <w:proofErr w:type="spellStart"/>
      <w:r w:rsidRPr="00C16AD9">
        <w:rPr>
          <w:i/>
        </w:rPr>
        <w:t>Tripsacum</w:t>
      </w:r>
      <w:proofErr w:type="spellEnd"/>
      <w:r w:rsidRPr="00C16AD9">
        <w:rPr>
          <w:i/>
        </w:rPr>
        <w:t xml:space="preserve"> </w:t>
      </w:r>
      <w:proofErr w:type="spellStart"/>
      <w:r w:rsidRPr="00C16AD9">
        <w:rPr>
          <w:i/>
        </w:rPr>
        <w:t>dactyloides</w:t>
      </w:r>
      <w:proofErr w:type="spellEnd"/>
      <w:r>
        <w:t>), bushy bluestem (</w:t>
      </w:r>
      <w:proofErr w:type="spellStart"/>
      <w:r w:rsidRPr="00C16AD9">
        <w:rPr>
          <w:i/>
        </w:rPr>
        <w:t>Andropogon</w:t>
      </w:r>
      <w:proofErr w:type="spellEnd"/>
      <w:r w:rsidRPr="00C16AD9">
        <w:rPr>
          <w:i/>
        </w:rPr>
        <w:t xml:space="preserve"> </w:t>
      </w:r>
      <w:proofErr w:type="spellStart"/>
      <w:r w:rsidRPr="00C16AD9">
        <w:rPr>
          <w:i/>
        </w:rPr>
        <w:t>glomeratus</w:t>
      </w:r>
      <w:proofErr w:type="spellEnd"/>
      <w:r>
        <w:t>)</w:t>
      </w:r>
      <w:r w:rsidR="00C16AD9">
        <w:t>,</w:t>
      </w:r>
      <w:r>
        <w:t xml:space="preserve"> and three-awn grasses (</w:t>
      </w:r>
      <w:proofErr w:type="spellStart"/>
      <w:r w:rsidRPr="00C16AD9">
        <w:rPr>
          <w:i/>
        </w:rPr>
        <w:t>Aristida</w:t>
      </w:r>
      <w:proofErr w:type="spellEnd"/>
      <w:r>
        <w:t xml:space="preserve"> spp</w:t>
      </w:r>
      <w:r w:rsidR="00C16AD9">
        <w:t>.</w:t>
      </w:r>
      <w:r>
        <w:t>). Common forbs present are goldenrods (</w:t>
      </w:r>
      <w:proofErr w:type="spellStart"/>
      <w:r w:rsidRPr="00C16AD9">
        <w:rPr>
          <w:i/>
        </w:rPr>
        <w:t>Solidago</w:t>
      </w:r>
      <w:proofErr w:type="spellEnd"/>
      <w:r>
        <w:t xml:space="preserve"> spp</w:t>
      </w:r>
      <w:r w:rsidR="00C16AD9">
        <w:t>.</w:t>
      </w:r>
      <w:r>
        <w:t>), asters (</w:t>
      </w:r>
      <w:r w:rsidRPr="00C16AD9">
        <w:rPr>
          <w:i/>
        </w:rPr>
        <w:t>Aster</w:t>
      </w:r>
      <w:r>
        <w:t xml:space="preserve"> spp</w:t>
      </w:r>
      <w:r w:rsidR="00C16AD9">
        <w:t>.</w:t>
      </w:r>
      <w:r>
        <w:t>), sunflowers (</w:t>
      </w:r>
      <w:r w:rsidRPr="00C16AD9">
        <w:rPr>
          <w:i/>
        </w:rPr>
        <w:t>Helianthus</w:t>
      </w:r>
      <w:r>
        <w:t xml:space="preserve"> spp</w:t>
      </w:r>
      <w:r w:rsidR="00C16AD9">
        <w:t>.</w:t>
      </w:r>
      <w:r>
        <w:t>), evening primrose (</w:t>
      </w:r>
      <w:proofErr w:type="spellStart"/>
      <w:r w:rsidRPr="00C16AD9">
        <w:rPr>
          <w:i/>
        </w:rPr>
        <w:t>Oenothera</w:t>
      </w:r>
      <w:proofErr w:type="spellEnd"/>
      <w:r w:rsidRPr="00C16AD9">
        <w:rPr>
          <w:i/>
        </w:rPr>
        <w:t xml:space="preserve"> </w:t>
      </w:r>
      <w:proofErr w:type="spellStart"/>
      <w:r w:rsidRPr="00C16AD9">
        <w:rPr>
          <w:i/>
        </w:rPr>
        <w:t>biennis</w:t>
      </w:r>
      <w:proofErr w:type="spellEnd"/>
      <w:r>
        <w:t>), coneflowers (</w:t>
      </w:r>
      <w:r w:rsidRPr="00C16AD9">
        <w:rPr>
          <w:i/>
        </w:rPr>
        <w:t>Echinacea</w:t>
      </w:r>
      <w:r>
        <w:t xml:space="preserve"> spp</w:t>
      </w:r>
      <w:r w:rsidR="00C16AD9">
        <w:t>.</w:t>
      </w:r>
      <w:r>
        <w:t>), prairie clovers (</w:t>
      </w:r>
      <w:proofErr w:type="spellStart"/>
      <w:r w:rsidRPr="00C16AD9">
        <w:rPr>
          <w:i/>
        </w:rPr>
        <w:t>Dalea</w:t>
      </w:r>
      <w:proofErr w:type="spellEnd"/>
      <w:r>
        <w:t xml:space="preserve"> spp</w:t>
      </w:r>
      <w:r w:rsidR="00C16AD9">
        <w:t>.</w:t>
      </w:r>
      <w:r>
        <w:t>), milkweeds (</w:t>
      </w:r>
      <w:proofErr w:type="spellStart"/>
      <w:r w:rsidRPr="00C16AD9">
        <w:rPr>
          <w:i/>
        </w:rPr>
        <w:t>Asclepias</w:t>
      </w:r>
      <w:proofErr w:type="spellEnd"/>
      <w:r>
        <w:t xml:space="preserve"> spp</w:t>
      </w:r>
      <w:r w:rsidR="00C16AD9">
        <w:t>.</w:t>
      </w:r>
      <w:r>
        <w:t>), compass plant (</w:t>
      </w:r>
      <w:r w:rsidRPr="00C16AD9">
        <w:rPr>
          <w:i/>
        </w:rPr>
        <w:t xml:space="preserve">Silphium </w:t>
      </w:r>
      <w:proofErr w:type="spellStart"/>
      <w:r w:rsidRPr="00C16AD9">
        <w:rPr>
          <w:i/>
        </w:rPr>
        <w:t>laciniatum</w:t>
      </w:r>
      <w:proofErr w:type="spellEnd"/>
      <w:r>
        <w:t>), blazing stars (</w:t>
      </w:r>
      <w:proofErr w:type="spellStart"/>
      <w:r w:rsidRPr="00C16AD9">
        <w:rPr>
          <w:i/>
        </w:rPr>
        <w:t>Liatris</w:t>
      </w:r>
      <w:proofErr w:type="spellEnd"/>
      <w:r>
        <w:t xml:space="preserve"> spp</w:t>
      </w:r>
      <w:r w:rsidR="00C16AD9">
        <w:t>.</w:t>
      </w:r>
      <w:r>
        <w:t>)</w:t>
      </w:r>
      <w:r w:rsidR="00C16AD9">
        <w:t>,</w:t>
      </w:r>
      <w:r>
        <w:t xml:space="preserve"> and many others (</w:t>
      </w:r>
      <w:proofErr w:type="spellStart"/>
      <w:r>
        <w:t>MacRoberts</w:t>
      </w:r>
      <w:proofErr w:type="spellEnd"/>
      <w:r>
        <w:t xml:space="preserve"> 1997, </w:t>
      </w:r>
      <w:proofErr w:type="spellStart"/>
      <w:r>
        <w:t>Foti</w:t>
      </w:r>
      <w:proofErr w:type="spellEnd"/>
      <w:r>
        <w:t xml:space="preserve"> 1989, </w:t>
      </w:r>
      <w:proofErr w:type="spellStart"/>
      <w:r>
        <w:t>Zollner</w:t>
      </w:r>
      <w:proofErr w:type="spellEnd"/>
      <w:r>
        <w:t xml:space="preserve"> and Simon 1998). </w:t>
      </w:r>
    </w:p>
    <w:p w:rsidR="00315318" w:rsidP="00315318" w:rsidRDefault="00315318" w14:paraId="18A91BFF" w14:textId="77777777"/>
    <w:p w:rsidR="00315318" w:rsidP="00315318" w:rsidRDefault="00315318" w14:paraId="2AA3C69A" w14:textId="77777777">
      <w:r>
        <w:t>Post oak (</w:t>
      </w:r>
      <w:r w:rsidRPr="00C16AD9">
        <w:rPr>
          <w:i/>
        </w:rPr>
        <w:t xml:space="preserve">Quercus </w:t>
      </w:r>
      <w:proofErr w:type="spellStart"/>
      <w:r w:rsidRPr="00C16AD9">
        <w:rPr>
          <w:i/>
        </w:rPr>
        <w:t>stellata</w:t>
      </w:r>
      <w:proofErr w:type="spellEnd"/>
      <w:r>
        <w:t>) and chinquapin oaks (</w:t>
      </w:r>
      <w:r w:rsidRPr="00C16AD9">
        <w:rPr>
          <w:i/>
        </w:rPr>
        <w:t xml:space="preserve">Q. </w:t>
      </w:r>
      <w:proofErr w:type="spellStart"/>
      <w:r w:rsidRPr="00C16AD9">
        <w:rPr>
          <w:i/>
        </w:rPr>
        <w:t>muehlenbergii</w:t>
      </w:r>
      <w:proofErr w:type="spellEnd"/>
      <w:r>
        <w:t xml:space="preserve">) grew on ridges with thin soil over marl and chalk. Post oaks were also found either dense or in savanna-like stands over fragipans where the soil was poorly drained. </w:t>
      </w:r>
      <w:proofErr w:type="spellStart"/>
      <w:r>
        <w:t>Bois-d’arc</w:t>
      </w:r>
      <w:proofErr w:type="spellEnd"/>
      <w:r>
        <w:t xml:space="preserve"> (</w:t>
      </w:r>
      <w:proofErr w:type="spellStart"/>
      <w:r w:rsidRPr="00C16AD9">
        <w:rPr>
          <w:i/>
        </w:rPr>
        <w:t>Maclura</w:t>
      </w:r>
      <w:proofErr w:type="spellEnd"/>
      <w:r w:rsidRPr="00C16AD9">
        <w:rPr>
          <w:i/>
        </w:rPr>
        <w:t xml:space="preserve"> </w:t>
      </w:r>
      <w:proofErr w:type="spellStart"/>
      <w:r w:rsidRPr="00C16AD9">
        <w:rPr>
          <w:i/>
        </w:rPr>
        <w:t>pomifera</w:t>
      </w:r>
      <w:proofErr w:type="spellEnd"/>
      <w:r>
        <w:t>) was found on dry calcareous ridges with dense thickets of sumac, persimmon (</w:t>
      </w:r>
      <w:r w:rsidRPr="00C16AD9">
        <w:rPr>
          <w:i/>
        </w:rPr>
        <w:t xml:space="preserve">Diospyros </w:t>
      </w:r>
      <w:proofErr w:type="spellStart"/>
      <w:r w:rsidRPr="00C16AD9">
        <w:rPr>
          <w:i/>
        </w:rPr>
        <w:t>virginiana</w:t>
      </w:r>
      <w:proofErr w:type="spellEnd"/>
      <w:r>
        <w:t xml:space="preserve">) and </w:t>
      </w:r>
      <w:proofErr w:type="spellStart"/>
      <w:r>
        <w:t>greenbriar</w:t>
      </w:r>
      <w:proofErr w:type="spellEnd"/>
      <w:r>
        <w:t xml:space="preserve"> (</w:t>
      </w:r>
      <w:r w:rsidRPr="00C16AD9">
        <w:rPr>
          <w:i/>
        </w:rPr>
        <w:t>Smilax</w:t>
      </w:r>
      <w:r>
        <w:t xml:space="preserve"> spp</w:t>
      </w:r>
      <w:r w:rsidR="00C16AD9">
        <w:t>.</w:t>
      </w:r>
      <w:r>
        <w:t>) (Hutchinson 1985).</w:t>
      </w:r>
    </w:p>
    <w:p w:rsidR="00315318" w:rsidP="00315318" w:rsidRDefault="00315318" w14:paraId="6806C7ED" w14:textId="77777777"/>
    <w:p w:rsidR="00315318" w:rsidP="00315318" w:rsidRDefault="00315318" w14:paraId="6730C1F6" w14:textId="77777777">
      <w:r>
        <w:t xml:space="preserve">Degraded </w:t>
      </w:r>
      <w:proofErr w:type="spellStart"/>
      <w:r>
        <w:t>blackland</w:t>
      </w:r>
      <w:proofErr w:type="spellEnd"/>
      <w:r>
        <w:t xml:space="preserve"> prairies show increased abundance of eastern red cedar (</w:t>
      </w:r>
      <w:proofErr w:type="spellStart"/>
      <w:r w:rsidRPr="00C16AD9">
        <w:rPr>
          <w:i/>
        </w:rPr>
        <w:t>Juniperus</w:t>
      </w:r>
      <w:proofErr w:type="spellEnd"/>
      <w:r w:rsidRPr="00C16AD9">
        <w:rPr>
          <w:i/>
        </w:rPr>
        <w:t xml:space="preserve"> </w:t>
      </w:r>
      <w:proofErr w:type="spellStart"/>
      <w:r w:rsidRPr="00C16AD9">
        <w:rPr>
          <w:i/>
        </w:rPr>
        <w:t>virginiana</w:t>
      </w:r>
      <w:proofErr w:type="spellEnd"/>
      <w:r>
        <w:t>) and other woody species such as persimmon, white ash (</w:t>
      </w:r>
      <w:proofErr w:type="spellStart"/>
      <w:r w:rsidRPr="00C16AD9">
        <w:rPr>
          <w:i/>
        </w:rPr>
        <w:t>Fraxinus</w:t>
      </w:r>
      <w:proofErr w:type="spellEnd"/>
      <w:r w:rsidRPr="00C16AD9">
        <w:rPr>
          <w:i/>
        </w:rPr>
        <w:t xml:space="preserve"> </w:t>
      </w:r>
      <w:proofErr w:type="spellStart"/>
      <w:r w:rsidRPr="00C16AD9">
        <w:rPr>
          <w:i/>
        </w:rPr>
        <w:t>americana</w:t>
      </w:r>
      <w:proofErr w:type="spellEnd"/>
      <w:r>
        <w:t>), winged elm (</w:t>
      </w:r>
      <w:proofErr w:type="spellStart"/>
      <w:r w:rsidRPr="00C16AD9">
        <w:rPr>
          <w:i/>
        </w:rPr>
        <w:t>Ulmus</w:t>
      </w:r>
      <w:proofErr w:type="spellEnd"/>
      <w:r w:rsidRPr="00C16AD9">
        <w:rPr>
          <w:i/>
        </w:rPr>
        <w:t xml:space="preserve"> </w:t>
      </w:r>
      <w:proofErr w:type="spellStart"/>
      <w:r w:rsidRPr="00C16AD9">
        <w:rPr>
          <w:i/>
        </w:rPr>
        <w:t>alata</w:t>
      </w:r>
      <w:proofErr w:type="spellEnd"/>
      <w:r>
        <w:t>), Carolina buckthorn (</w:t>
      </w:r>
      <w:proofErr w:type="spellStart"/>
      <w:r w:rsidRPr="00C16AD9">
        <w:rPr>
          <w:i/>
        </w:rPr>
        <w:t>Rhamnus</w:t>
      </w:r>
      <w:proofErr w:type="spellEnd"/>
      <w:r w:rsidRPr="00C16AD9">
        <w:rPr>
          <w:i/>
        </w:rPr>
        <w:t xml:space="preserve"> </w:t>
      </w:r>
      <w:proofErr w:type="spellStart"/>
      <w:r w:rsidRPr="00C16AD9">
        <w:rPr>
          <w:i/>
        </w:rPr>
        <w:t>caroliniana</w:t>
      </w:r>
      <w:proofErr w:type="spellEnd"/>
      <w:r>
        <w:t>), deciduous holly (</w:t>
      </w:r>
      <w:r w:rsidRPr="00C16AD9">
        <w:rPr>
          <w:i/>
        </w:rPr>
        <w:t>Ilex decidua</w:t>
      </w:r>
      <w:r>
        <w:t>), flowering dogwood (</w:t>
      </w:r>
      <w:proofErr w:type="spellStart"/>
      <w:r w:rsidRPr="00C16AD9">
        <w:rPr>
          <w:i/>
        </w:rPr>
        <w:t>Cornus</w:t>
      </w:r>
      <w:proofErr w:type="spellEnd"/>
      <w:r w:rsidRPr="00C16AD9">
        <w:rPr>
          <w:i/>
        </w:rPr>
        <w:t xml:space="preserve"> </w:t>
      </w:r>
      <w:proofErr w:type="spellStart"/>
      <w:r w:rsidRPr="00C16AD9">
        <w:rPr>
          <w:i/>
        </w:rPr>
        <w:t>florida</w:t>
      </w:r>
      <w:proofErr w:type="spellEnd"/>
      <w:r>
        <w:t xml:space="preserve">) and rusty </w:t>
      </w:r>
      <w:proofErr w:type="spellStart"/>
      <w:r>
        <w:t>blackhaw</w:t>
      </w:r>
      <w:proofErr w:type="spellEnd"/>
      <w:r>
        <w:t xml:space="preserve"> (</w:t>
      </w:r>
      <w:r w:rsidRPr="00C16AD9">
        <w:rPr>
          <w:i/>
        </w:rPr>
        <w:t xml:space="preserve">Viburnum </w:t>
      </w:r>
      <w:proofErr w:type="spellStart"/>
      <w:r w:rsidRPr="00C16AD9">
        <w:rPr>
          <w:i/>
        </w:rPr>
        <w:t>rufidulum</w:t>
      </w:r>
      <w:proofErr w:type="spellEnd"/>
      <w:r>
        <w:t xml:space="preserve">) due to intensive grazing and long-term fire suppression (Roberts 1979, </w:t>
      </w:r>
      <w:proofErr w:type="spellStart"/>
      <w:r>
        <w:t>Foti</w:t>
      </w:r>
      <w:proofErr w:type="spellEnd"/>
      <w:r>
        <w:t xml:space="preserve"> 1989, </w:t>
      </w:r>
      <w:proofErr w:type="spellStart"/>
      <w:r>
        <w:t>Zollner</w:t>
      </w:r>
      <w:proofErr w:type="spellEnd"/>
      <w:r>
        <w:t xml:space="preserve"> and Simon 1997).</w:t>
      </w:r>
    </w:p>
    <w:p w:rsidR="00315318" w:rsidP="00315318" w:rsidRDefault="00315318" w14:paraId="548DE5A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15318" w:rsidP="00315318" w:rsidRDefault="00315318" w14:paraId="101691F1" w14:textId="77777777">
      <w:pPr>
        <w:pStyle w:val="InfoPara"/>
      </w:pPr>
      <w:r>
        <w:t>Disturbance Description</w:t>
      </w:r>
    </w:p>
    <w:p w:rsidR="00315318" w:rsidP="00315318" w:rsidRDefault="00315318" w14:paraId="4CE98272" w14:textId="77777777">
      <w:r>
        <w:t>Disturbance by both natural fire, Native American generated fire and perhaps native grazers (bison) likely helped maintain these areas prior to European settlement.</w:t>
      </w:r>
    </w:p>
    <w:p w:rsidR="00315318" w:rsidP="00315318" w:rsidRDefault="000407F6" w14:paraId="353E3C9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15318" w:rsidP="00315318" w:rsidRDefault="00315318" w14:paraId="5780944D" w14:textId="77777777">
      <w:pPr>
        <w:pStyle w:val="InfoPara"/>
      </w:pPr>
      <w:r>
        <w:t>Scale Description</w:t>
      </w:r>
    </w:p>
    <w:p w:rsidR="00D66C91" w:rsidP="00D66C91" w:rsidRDefault="00315318" w14:paraId="0D2C6FBF" w14:textId="3C22E29E">
      <w:pPr>
        <w:rPr>
          <w:sz w:val="22"/>
          <w:szCs w:val="22"/>
        </w:rPr>
      </w:pPr>
      <w:r>
        <w:t xml:space="preserve">This </w:t>
      </w:r>
      <w:r w:rsidR="00D27B8D">
        <w:t>biophysical setting (</w:t>
      </w:r>
      <w:proofErr w:type="spellStart"/>
      <w:r>
        <w:t>BpS</w:t>
      </w:r>
      <w:proofErr w:type="spellEnd"/>
      <w:r w:rsidR="00D27B8D">
        <w:t>)</w:t>
      </w:r>
      <w:r>
        <w:t xml:space="preserve"> appears in three forms on the landscape. Early surveyors mapped some sites as large polygons up to a couple thousand acres in size. Fire suppression in recent years caused significant decreases in size by more than 50% from 1935 to 1995 in central L</w:t>
      </w:r>
      <w:r w:rsidR="00D27B8D">
        <w:t>ouisiana</w:t>
      </w:r>
      <w:r>
        <w:t xml:space="preserve">'s </w:t>
      </w:r>
      <w:proofErr w:type="spellStart"/>
      <w:r>
        <w:t>Keiffer</w:t>
      </w:r>
      <w:proofErr w:type="spellEnd"/>
      <w:r>
        <w:t xml:space="preserve"> Prairies (based on aerial photography). </w:t>
      </w:r>
      <w:r w:rsidR="00D66C91">
        <w:t xml:space="preserve">As a result, today we see 1-100+ acre polygons of prairies in this </w:t>
      </w:r>
      <w:proofErr w:type="spellStart"/>
      <w:r w:rsidR="00D66C91">
        <w:t>BpS</w:t>
      </w:r>
      <w:proofErr w:type="spellEnd"/>
      <w:r w:rsidR="00D66C91">
        <w:t xml:space="preserve">, mostly scattered within the historic ovals. Some of the best examples occur in </w:t>
      </w:r>
      <w:proofErr w:type="spellStart"/>
      <w:r w:rsidR="00D66C91">
        <w:t>Keiffer</w:t>
      </w:r>
      <w:proofErr w:type="spellEnd"/>
      <w:r w:rsidR="00D66C91">
        <w:t xml:space="preserve"> Prairies in Winn Parish, Louisiana, where ~55 prairies remain</w:t>
      </w:r>
      <w:r w:rsidRPr="00D66C91" w:rsidR="00D66C91">
        <w:t>.</w:t>
      </w:r>
      <w:r w:rsidR="00D66C91">
        <w:t xml:space="preserve"> </w:t>
      </w:r>
    </w:p>
    <w:p w:rsidR="00315318" w:rsidP="00315318" w:rsidRDefault="00315318" w14:paraId="7AC62AA8" w14:textId="1BBA506D"/>
    <w:p w:rsidR="00315318" w:rsidP="00315318" w:rsidRDefault="00315318" w14:paraId="73FF7788" w14:textId="77777777">
      <w:pPr>
        <w:pStyle w:val="InfoPara"/>
      </w:pPr>
      <w:r>
        <w:t>Adjacency or Identification Concerns</w:t>
      </w:r>
    </w:p>
    <w:p w:rsidR="00315318" w:rsidP="00315318" w:rsidRDefault="00315318" w14:paraId="2A997F03" w14:textId="77777777">
      <w:r>
        <w:t>The West Gulf Coastal Plain Southern Calcareous Prairies form a very distinctive habitat within the surrounding uplands. The edges where eastern red cedar (</w:t>
      </w:r>
      <w:proofErr w:type="spellStart"/>
      <w:r w:rsidRPr="00C16AD9">
        <w:rPr>
          <w:i/>
        </w:rPr>
        <w:t>Juniperus</w:t>
      </w:r>
      <w:proofErr w:type="spellEnd"/>
      <w:r w:rsidRPr="00C16AD9">
        <w:rPr>
          <w:i/>
        </w:rPr>
        <w:t xml:space="preserve"> virginianus</w:t>
      </w:r>
      <w:r>
        <w:t>) or hardwoods have invaded are less well defined; but the presence of eastern red cedar often very accurately defines the historic range of these prairies.</w:t>
      </w:r>
    </w:p>
    <w:p w:rsidR="00315318" w:rsidP="00315318" w:rsidRDefault="00315318" w14:paraId="5DAA716D" w14:textId="77777777">
      <w:pPr>
        <w:pStyle w:val="InfoPara"/>
      </w:pPr>
      <w:r>
        <w:lastRenderedPageBreak/>
        <w:t>Issues or Problems</w:t>
      </w:r>
    </w:p>
    <w:p w:rsidR="00315318" w:rsidP="00315318" w:rsidRDefault="00315318" w14:paraId="6ECE4C8B" w14:textId="77777777">
      <w:r>
        <w:t>In the last 200yrs, impacts have changed. Especially in the last 50yrs or so, fire suppression has allowed hardwoods to invade these prairies. In addition, attempts to plow and cultivate these areas or to plant them to pine trees have been attempted, usually with miserable results from the perspective of the humans attempting to change the system to farm or forest. In the past 10yrs the reintroduction of fire by prescription and the mechanical control of woody vegetation encroachment have begun to counterbalance the effects of fire suppression and other attempts to "tame" the prairies. As for the reference condition, fire occurred more frequently than under current conditions.</w:t>
      </w:r>
    </w:p>
    <w:p w:rsidR="00315318" w:rsidP="00315318" w:rsidRDefault="00315318" w14:paraId="7B5B6A8D" w14:textId="77777777"/>
    <w:p w:rsidR="00315318" w:rsidP="00315318" w:rsidRDefault="00315318" w14:paraId="7D139F60" w14:textId="77777777">
      <w:r>
        <w:t>Imported from MZ37 on 8/28/07 by Brendan C. Ward</w:t>
      </w:r>
    </w:p>
    <w:p w:rsidR="00315318" w:rsidP="00315318" w:rsidRDefault="00315318" w14:paraId="74D62553" w14:textId="77777777">
      <w:pPr>
        <w:pStyle w:val="InfoPara"/>
      </w:pPr>
      <w:r>
        <w:t>Native Uncharacteristic Conditions</w:t>
      </w:r>
    </w:p>
    <w:p w:rsidR="00315318" w:rsidP="00315318" w:rsidRDefault="00315318" w14:paraId="5662E04E" w14:textId="77777777"/>
    <w:p w:rsidR="00315318" w:rsidP="00315318" w:rsidRDefault="00315318" w14:paraId="2A43F39E" w14:textId="77777777">
      <w:pPr>
        <w:pStyle w:val="InfoPara"/>
      </w:pPr>
      <w:r>
        <w:t>Comments</w:t>
      </w:r>
    </w:p>
    <w:p w:rsidR="00224E8D" w:rsidP="00224E8D" w:rsidRDefault="00224E8D" w14:paraId="0BE5C1BA" w14:textId="77777777">
      <w:pPr>
        <w:rPr>
          <w:rFonts w:ascii="Calibri" w:hAnsi="Calibri" w:eastAsiaTheme="minorHAnsi"/>
          <w:b/>
          <w:bCs/>
        </w:rPr>
      </w:pPr>
    </w:p>
    <w:p w:rsidR="00315318" w:rsidP="00315318" w:rsidRDefault="00315318" w14:paraId="0845C16F" w14:textId="77777777">
      <w:pPr>
        <w:pStyle w:val="ReportSection"/>
      </w:pPr>
      <w:r>
        <w:t>Succession Classes</w:t>
      </w:r>
    </w:p>
    <w:p w:rsidR="00315318" w:rsidP="00315318" w:rsidRDefault="00315318" w14:paraId="771A700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15318" w:rsidP="00315318" w:rsidRDefault="00315318" w14:paraId="4C4898EE"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Open</w:t>
      </w:r>
    </w:p>
    <w:bookmarkEnd w:id="2"/>
    <w:bookmarkEnd w:id="3"/>
    <w:bookmarkEnd w:id="4"/>
    <w:p w:rsidR="000407F6" w:rsidP="00315318" w:rsidRDefault="000407F6" w14:paraId="7243CC4C" w14:textId="77777777">
      <w:pPr>
        <w:pStyle w:val="SClassInfoPara"/>
      </w:pPr>
    </w:p>
    <w:p w:rsidR="00315318" w:rsidP="00315318" w:rsidRDefault="00315318" w14:paraId="2E016D75" w14:textId="77777777">
      <w:pPr>
        <w:pStyle w:val="SClassInfoPara"/>
      </w:pPr>
      <w:r>
        <w:t>Indicator Species</w:t>
      </w:r>
    </w:p>
    <w:p w:rsidR="00315318" w:rsidP="00315318" w:rsidRDefault="00315318" w14:paraId="2493C190" w14:textId="77777777"/>
    <w:p w:rsidR="00315318" w:rsidP="00315318" w:rsidRDefault="00315318" w14:paraId="53757B57" w14:textId="77777777">
      <w:pPr>
        <w:pStyle w:val="SClassInfoPara"/>
      </w:pPr>
      <w:r>
        <w:t>Description</w:t>
      </w:r>
    </w:p>
    <w:p w:rsidR="00315318" w:rsidP="00315318" w:rsidRDefault="00315318" w14:paraId="5D09A420" w14:textId="77777777">
      <w:r>
        <w:t xml:space="preserve">Short grass and bare ground within 12 months of recent stand replacement (grass) fire. </w:t>
      </w:r>
      <w:proofErr w:type="spellStart"/>
      <w:r>
        <w:t>Blackland</w:t>
      </w:r>
      <w:proofErr w:type="spellEnd"/>
      <w:r>
        <w:t xml:space="preserve"> prairie flora will begin to return within one year. </w:t>
      </w:r>
      <w:r w:rsidR="00C16AD9">
        <w:t>Grasses</w:t>
      </w:r>
      <w:r>
        <w:t xml:space="preserve"> will be dominated by little bluestem (</w:t>
      </w:r>
      <w:proofErr w:type="spellStart"/>
      <w:r w:rsidRPr="00C16AD9">
        <w:rPr>
          <w:i/>
        </w:rPr>
        <w:t>Schizachyrium</w:t>
      </w:r>
      <w:proofErr w:type="spellEnd"/>
      <w:r w:rsidRPr="00C16AD9">
        <w:rPr>
          <w:i/>
        </w:rPr>
        <w:t xml:space="preserve"> </w:t>
      </w:r>
      <w:proofErr w:type="spellStart"/>
      <w:r w:rsidRPr="00C16AD9">
        <w:rPr>
          <w:i/>
        </w:rPr>
        <w:t>scoparium</w:t>
      </w:r>
      <w:proofErr w:type="spellEnd"/>
      <w:r>
        <w:t>) and Indian grass (</w:t>
      </w:r>
      <w:proofErr w:type="spellStart"/>
      <w:r w:rsidRPr="00C16AD9">
        <w:rPr>
          <w:i/>
        </w:rPr>
        <w:t>Sorghastum</w:t>
      </w:r>
      <w:proofErr w:type="spellEnd"/>
      <w:r w:rsidRPr="00C16AD9">
        <w:rPr>
          <w:i/>
        </w:rPr>
        <w:t xml:space="preserve"> </w:t>
      </w:r>
      <w:proofErr w:type="spellStart"/>
      <w:r w:rsidRPr="00C16AD9">
        <w:rPr>
          <w:i/>
        </w:rPr>
        <w:t>nutans</w:t>
      </w:r>
      <w:proofErr w:type="spellEnd"/>
      <w:r>
        <w:t xml:space="preserve">). </w:t>
      </w:r>
    </w:p>
    <w:p w:rsidR="00315318" w:rsidP="00315318" w:rsidRDefault="00315318" w14:paraId="55EA5290" w14:textId="77777777"/>
    <w:p>
      <w:r>
        <w:rPr>
          <w:i/>
          <w:u w:val="single"/>
        </w:rPr>
        <w:t>Maximum Tree Size Class</w:t>
      </w:r>
      <w:br/>
      <w:r>
        <w:t>Seedling &lt;4.5ft</w:t>
      </w:r>
    </w:p>
    <w:p w:rsidR="00315318" w:rsidP="00315318" w:rsidRDefault="00315318" w14:paraId="196E5095" w14:textId="77777777">
      <w:pPr>
        <w:pStyle w:val="InfoPara"/>
        <w:pBdr>
          <w:top w:val="single" w:color="auto" w:sz="4" w:space="1"/>
        </w:pBdr>
      </w:pPr>
      <w:r>
        <w:t>Class B</w:t>
      </w:r>
      <w:r>
        <w:tab/>
        <w:t>59</w:t>
      </w:r>
      <w:r w:rsidR="002A3B10">
        <w:tab/>
      </w:r>
      <w:r w:rsidR="002A3B10">
        <w:tab/>
      </w:r>
      <w:r w:rsidR="002A3B10">
        <w:tab/>
      </w:r>
      <w:r w:rsidR="002A3B10">
        <w:tab/>
      </w:r>
      <w:r w:rsidR="004F7795">
        <w:t>Mid Development 1 - Open</w:t>
      </w:r>
    </w:p>
    <w:p w:rsidR="000407F6" w:rsidP="000407F6" w:rsidRDefault="000407F6" w14:paraId="4085EE77" w14:textId="77777777">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5"/>
    <w:p w:rsidR="000407F6" w:rsidP="00315318" w:rsidRDefault="000407F6" w14:paraId="1D5DC89D" w14:textId="77777777">
      <w:pPr>
        <w:pStyle w:val="SClassInfoPara"/>
      </w:pPr>
    </w:p>
    <w:p w:rsidR="00315318" w:rsidP="00315318" w:rsidRDefault="00315318" w14:paraId="31E5E669" w14:textId="77777777">
      <w:pPr>
        <w:pStyle w:val="SClassInfoPara"/>
      </w:pPr>
      <w:r>
        <w:t>Indicator Species</w:t>
      </w:r>
    </w:p>
    <w:p w:rsidR="00315318" w:rsidP="00315318" w:rsidRDefault="00315318" w14:paraId="1BAE03DC" w14:textId="77777777"/>
    <w:p w:rsidR="00315318" w:rsidP="00315318" w:rsidRDefault="00315318" w14:paraId="7DD6C8EA" w14:textId="77777777">
      <w:pPr>
        <w:pStyle w:val="SClassInfoPara"/>
      </w:pPr>
      <w:r>
        <w:lastRenderedPageBreak/>
        <w:t>Description</w:t>
      </w:r>
    </w:p>
    <w:p w:rsidR="00315318" w:rsidP="00315318" w:rsidRDefault="00315318" w14:paraId="33E6A97A" w14:textId="77777777">
      <w:r>
        <w:t xml:space="preserve">A diverse plant community will return including little bluegrass and </w:t>
      </w:r>
      <w:proofErr w:type="spellStart"/>
      <w:r>
        <w:t>Indiangrass</w:t>
      </w:r>
      <w:proofErr w:type="spellEnd"/>
      <w:r>
        <w:t xml:space="preserve">. Important associate grasses include </w:t>
      </w:r>
      <w:proofErr w:type="spellStart"/>
      <w:r>
        <w:t>dropseed</w:t>
      </w:r>
      <w:proofErr w:type="spellEnd"/>
      <w:r>
        <w:t xml:space="preserve"> (</w:t>
      </w:r>
      <w:proofErr w:type="spellStart"/>
      <w:r w:rsidRPr="00C16AD9">
        <w:rPr>
          <w:i/>
        </w:rPr>
        <w:t>Sporobolus</w:t>
      </w:r>
      <w:proofErr w:type="spellEnd"/>
      <w:r w:rsidRPr="00C16AD9">
        <w:rPr>
          <w:i/>
        </w:rPr>
        <w:t xml:space="preserve"> </w:t>
      </w:r>
      <w:proofErr w:type="spellStart"/>
      <w:r w:rsidRPr="00C16AD9">
        <w:rPr>
          <w:i/>
        </w:rPr>
        <w:t>clandestinus</w:t>
      </w:r>
      <w:proofErr w:type="spellEnd"/>
      <w:r>
        <w:t xml:space="preserve">), eastern </w:t>
      </w:r>
      <w:proofErr w:type="spellStart"/>
      <w:r>
        <w:t>gamagrass</w:t>
      </w:r>
      <w:proofErr w:type="spellEnd"/>
      <w:r>
        <w:t xml:space="preserve"> (</w:t>
      </w:r>
      <w:proofErr w:type="spellStart"/>
      <w:r w:rsidRPr="00C16AD9">
        <w:rPr>
          <w:i/>
        </w:rPr>
        <w:t>Tripsacum</w:t>
      </w:r>
      <w:proofErr w:type="spellEnd"/>
      <w:r w:rsidRPr="00C16AD9">
        <w:rPr>
          <w:i/>
        </w:rPr>
        <w:t xml:space="preserve"> </w:t>
      </w:r>
      <w:proofErr w:type="spellStart"/>
      <w:r w:rsidRPr="00C16AD9">
        <w:rPr>
          <w:i/>
        </w:rPr>
        <w:t>dactyloides</w:t>
      </w:r>
      <w:proofErr w:type="spellEnd"/>
      <w:r>
        <w:t>), bushy bluestem (</w:t>
      </w:r>
      <w:proofErr w:type="spellStart"/>
      <w:r w:rsidRPr="00C16AD9">
        <w:rPr>
          <w:i/>
        </w:rPr>
        <w:t>Andropogon</w:t>
      </w:r>
      <w:proofErr w:type="spellEnd"/>
      <w:r w:rsidRPr="00C16AD9">
        <w:rPr>
          <w:i/>
        </w:rPr>
        <w:t xml:space="preserve"> </w:t>
      </w:r>
      <w:proofErr w:type="spellStart"/>
      <w:r w:rsidRPr="00C16AD9">
        <w:rPr>
          <w:i/>
        </w:rPr>
        <w:t>glomeratus</w:t>
      </w:r>
      <w:proofErr w:type="spellEnd"/>
      <w:r>
        <w:t>) and three-awn grasses (</w:t>
      </w:r>
      <w:proofErr w:type="spellStart"/>
      <w:r w:rsidRPr="00C16AD9">
        <w:rPr>
          <w:i/>
        </w:rPr>
        <w:t>Aristida</w:t>
      </w:r>
      <w:proofErr w:type="spellEnd"/>
      <w:r>
        <w:t xml:space="preserve"> spp</w:t>
      </w:r>
      <w:r w:rsidR="00C16AD9">
        <w:t>.</w:t>
      </w:r>
      <w:r>
        <w:t>). Common forbs present are coneflowers (</w:t>
      </w:r>
      <w:r w:rsidRPr="00C16AD9">
        <w:rPr>
          <w:i/>
        </w:rPr>
        <w:t>Echinacea</w:t>
      </w:r>
      <w:r>
        <w:t xml:space="preserve"> spp.), prairie clovers (</w:t>
      </w:r>
      <w:proofErr w:type="spellStart"/>
      <w:r w:rsidRPr="00C16AD9">
        <w:rPr>
          <w:i/>
        </w:rPr>
        <w:t>Dalea</w:t>
      </w:r>
      <w:proofErr w:type="spellEnd"/>
      <w:r>
        <w:t xml:space="preserve"> spp.), milkweeds (</w:t>
      </w:r>
      <w:proofErr w:type="spellStart"/>
      <w:r w:rsidRPr="00C16AD9">
        <w:rPr>
          <w:i/>
        </w:rPr>
        <w:t>Asclepias</w:t>
      </w:r>
      <w:proofErr w:type="spellEnd"/>
      <w:r>
        <w:t xml:space="preserve"> spp</w:t>
      </w:r>
      <w:r w:rsidR="00C16AD9">
        <w:t>.</w:t>
      </w:r>
      <w:r>
        <w:t>), compass plant (</w:t>
      </w:r>
      <w:r w:rsidRPr="00C16AD9">
        <w:rPr>
          <w:i/>
        </w:rPr>
        <w:t xml:space="preserve">Silphium </w:t>
      </w:r>
      <w:proofErr w:type="spellStart"/>
      <w:r w:rsidRPr="00C16AD9">
        <w:rPr>
          <w:i/>
        </w:rPr>
        <w:t>laciniatum</w:t>
      </w:r>
      <w:proofErr w:type="spellEnd"/>
      <w:r>
        <w:t>), blazing stars (</w:t>
      </w:r>
      <w:proofErr w:type="spellStart"/>
      <w:r w:rsidRPr="00C16AD9">
        <w:rPr>
          <w:i/>
        </w:rPr>
        <w:t>Liatris</w:t>
      </w:r>
      <w:proofErr w:type="spellEnd"/>
      <w:r>
        <w:t xml:space="preserve"> spp</w:t>
      </w:r>
      <w:r w:rsidR="00C16AD9">
        <w:t>.</w:t>
      </w:r>
      <w:r>
        <w:t>)</w:t>
      </w:r>
      <w:r w:rsidR="00D27B8D">
        <w:t>,</w:t>
      </w:r>
      <w:r>
        <w:t xml:space="preserve"> and many others. </w:t>
      </w:r>
    </w:p>
    <w:p w:rsidR="00315318" w:rsidP="00315318" w:rsidRDefault="00315318" w14:paraId="33007986" w14:textId="77777777"/>
    <w:p>
      <w:r>
        <w:rPr>
          <w:i/>
          <w:u w:val="single"/>
        </w:rPr>
        <w:t>Maximum Tree Size Class</w:t>
      </w:r>
      <w:br/>
      <w:r>
        <w:t>Sapling &gt;4.5ft; &lt;5" DBH</w:t>
      </w:r>
    </w:p>
    <w:p w:rsidR="00315318" w:rsidP="00315318" w:rsidRDefault="00315318" w14:paraId="3442D91B" w14:textId="77777777">
      <w:pPr>
        <w:pStyle w:val="InfoPara"/>
        <w:pBdr>
          <w:top w:val="single" w:color="auto" w:sz="4" w:space="1"/>
        </w:pBdr>
      </w:pPr>
      <w:r>
        <w:t>Class C</w:t>
      </w:r>
      <w:r>
        <w:tab/>
        <w:t>18</w:t>
      </w:r>
      <w:r w:rsidR="002A3B10">
        <w:tab/>
      </w:r>
      <w:r w:rsidR="002A3B10">
        <w:tab/>
      </w:r>
      <w:r w:rsidR="002A3B10">
        <w:tab/>
      </w:r>
      <w:r w:rsidR="002A3B10">
        <w:tab/>
      </w:r>
      <w:r w:rsidR="004F7795">
        <w:t>Late Development 1 - Open</w:t>
      </w:r>
    </w:p>
    <w:bookmarkEnd w:id="7"/>
    <w:bookmarkEnd w:id="8"/>
    <w:p w:rsidR="000407F6" w:rsidP="00315318" w:rsidRDefault="000407F6" w14:paraId="156B0904" w14:textId="77777777">
      <w:pPr>
        <w:pStyle w:val="SClassInfoPara"/>
      </w:pPr>
    </w:p>
    <w:p w:rsidR="00315318" w:rsidP="00315318" w:rsidRDefault="00315318" w14:paraId="4645A0FD" w14:textId="77777777">
      <w:pPr>
        <w:pStyle w:val="SClassInfoPara"/>
      </w:pPr>
      <w:r>
        <w:t>Indicator Species</w:t>
      </w:r>
    </w:p>
    <w:p w:rsidR="00315318" w:rsidP="00315318" w:rsidRDefault="00315318" w14:paraId="4BA4BF75" w14:textId="77777777"/>
    <w:p w:rsidR="00315318" w:rsidP="00315318" w:rsidRDefault="00315318" w14:paraId="0A51BF6D" w14:textId="77777777">
      <w:pPr>
        <w:pStyle w:val="SClassInfoPara"/>
      </w:pPr>
      <w:r>
        <w:t>Description</w:t>
      </w:r>
    </w:p>
    <w:p w:rsidR="00315318" w:rsidP="00315318" w:rsidRDefault="00315318" w14:paraId="7D297CDB" w14:textId="77777777">
      <w:r>
        <w:t>Includes two types of woody habitat within the prairie system. In prairie edges, eastern redcedar (</w:t>
      </w:r>
      <w:proofErr w:type="spellStart"/>
      <w:r w:rsidRPr="00C16AD9">
        <w:rPr>
          <w:i/>
        </w:rPr>
        <w:t>Juniperus</w:t>
      </w:r>
      <w:proofErr w:type="spellEnd"/>
      <w:r w:rsidRPr="00C16AD9">
        <w:rPr>
          <w:i/>
        </w:rPr>
        <w:t xml:space="preserve"> </w:t>
      </w:r>
      <w:proofErr w:type="spellStart"/>
      <w:r w:rsidRPr="00C16AD9">
        <w:rPr>
          <w:i/>
        </w:rPr>
        <w:t>virginiana</w:t>
      </w:r>
      <w:proofErr w:type="spellEnd"/>
      <w:r>
        <w:t xml:space="preserve">) often invades the prairie edge in the absence of fire. Random lack of fire allows cedar to increase in size to the point that it begins to reduce the probability of ground fires by reducing ground fuels though competition for resources. Alternatively, in areas with topographic position where fire is less likely to enter, hardwood shrubs may invade the prairie edges creating an area of dense shrub inclusions in some areas of the </w:t>
      </w:r>
      <w:r w:rsidR="00C16AD9">
        <w:t>prairie</w:t>
      </w:r>
      <w:r w:rsidR="000407F6">
        <w:t xml:space="preserve">. </w:t>
      </w:r>
      <w:r>
        <w:t xml:space="preserve"> </w:t>
      </w:r>
    </w:p>
    <w:p w:rsidR="00315318" w:rsidP="00315318" w:rsidRDefault="00315318" w14:paraId="3BA7C99B"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15318" w:rsidP="00315318" w:rsidRDefault="00315318" w14:paraId="7EE01D21" w14:textId="77777777">
      <w:proofErr w:type="spellStart"/>
      <w:r>
        <w:t>Foti</w:t>
      </w:r>
      <w:proofErr w:type="spellEnd"/>
      <w:r>
        <w:t xml:space="preserve">, T. 1989. </w:t>
      </w:r>
      <w:proofErr w:type="spellStart"/>
      <w:r>
        <w:t>Blackland</w:t>
      </w:r>
      <w:proofErr w:type="spellEnd"/>
      <w:r>
        <w:t xml:space="preserve"> Prairies of Southwestern Arkansas. Pages 23-28 in: Proceedings: Arkansas Academy of Science, volume 43.</w:t>
      </w:r>
    </w:p>
    <w:p w:rsidR="00315318" w:rsidP="00315318" w:rsidRDefault="00315318" w14:paraId="76CA75A5" w14:textId="77777777"/>
    <w:p w:rsidR="00315318" w:rsidP="00315318" w:rsidRDefault="00315318" w14:paraId="5010221E" w14:textId="77777777">
      <w:proofErr w:type="spellStart"/>
      <w:r>
        <w:t>FotiI</w:t>
      </w:r>
      <w:proofErr w:type="spellEnd"/>
      <w:r>
        <w:t xml:space="preserve">, T. 1987. Site Report: </w:t>
      </w:r>
      <w:proofErr w:type="spellStart"/>
      <w:r>
        <w:t>Blackland</w:t>
      </w:r>
      <w:proofErr w:type="spellEnd"/>
      <w:r>
        <w:t xml:space="preserve"> Prairie Sites in Arkansas. Unpublished Report Submitted to the Arkansas Natural Heritage Commission. 2 pp. + tables and maps.</w:t>
      </w:r>
    </w:p>
    <w:p w:rsidR="00315318" w:rsidP="00315318" w:rsidRDefault="00315318" w14:paraId="15F9B763" w14:textId="77777777"/>
    <w:p w:rsidR="00315318" w:rsidP="00315318" w:rsidRDefault="00315318" w14:paraId="27FD0651" w14:textId="77777777">
      <w:proofErr w:type="spellStart"/>
      <w:r>
        <w:t>MacRoberts</w:t>
      </w:r>
      <w:proofErr w:type="spellEnd"/>
      <w:r>
        <w:t xml:space="preserve">, B. and M. </w:t>
      </w:r>
      <w:proofErr w:type="spellStart"/>
      <w:r>
        <w:t>MacRoberts</w:t>
      </w:r>
      <w:proofErr w:type="spellEnd"/>
      <w:r>
        <w:t xml:space="preserve">. 1997. Historical Notes on Louisiana Prairies: Changes in Prairie Flora in Half a Century. </w:t>
      </w:r>
      <w:proofErr w:type="spellStart"/>
      <w:r>
        <w:t>Phytologia</w:t>
      </w:r>
      <w:proofErr w:type="spellEnd"/>
      <w:r>
        <w:t>, volume 82(2): 65-72.</w:t>
      </w:r>
    </w:p>
    <w:p w:rsidR="00315318" w:rsidP="00315318" w:rsidRDefault="00315318" w14:paraId="30E8117E" w14:textId="77777777"/>
    <w:p w:rsidR="00315318" w:rsidP="00315318" w:rsidRDefault="00315318" w14:paraId="51F3CDDD" w14:textId="77777777">
      <w:r>
        <w:t>Hutchinson, M. 1985. A report of an Inventory to Locate Potential Natural Areas in Southwestern Arkansas. Natural Land Institute, Unpublished Report. 19 pp.</w:t>
      </w:r>
    </w:p>
    <w:p w:rsidR="00315318" w:rsidP="00315318" w:rsidRDefault="00315318" w14:paraId="112D6EE1" w14:textId="77777777"/>
    <w:p w:rsidR="00315318" w:rsidP="00315318" w:rsidRDefault="00315318" w14:paraId="17036E2E" w14:textId="77777777">
      <w:proofErr w:type="spellStart"/>
      <w:r>
        <w:t>MacRoberts</w:t>
      </w:r>
      <w:proofErr w:type="spellEnd"/>
      <w:r>
        <w:t xml:space="preserve">, B. and M. </w:t>
      </w:r>
      <w:proofErr w:type="spellStart"/>
      <w:r>
        <w:t>MacRoberts</w:t>
      </w:r>
      <w:proofErr w:type="spellEnd"/>
      <w:r>
        <w:t xml:space="preserve">. 1997. Historical Notes on Louisiana Prairies: Changes in Prairie Flora in Half a Century. </w:t>
      </w:r>
      <w:proofErr w:type="spellStart"/>
      <w:r>
        <w:t>Phytologia</w:t>
      </w:r>
      <w:proofErr w:type="spellEnd"/>
      <w:r>
        <w:t>, volume 82(2): 65-72.</w:t>
      </w:r>
    </w:p>
    <w:p w:rsidR="00315318" w:rsidP="00315318" w:rsidRDefault="00315318" w14:paraId="79A69647" w14:textId="77777777"/>
    <w:p w:rsidR="00315318" w:rsidP="00315318" w:rsidRDefault="00315318" w14:paraId="06E00B25" w14:textId="77777777">
      <w:r>
        <w:t>NatureServe. 2007. International Ecological Classification Standard: Terrestrial Ecological Classifications. NatureServe Central Databases. Arlington, VA. Data current as of 10 February 2007.</w:t>
      </w:r>
    </w:p>
    <w:p w:rsidR="00315318" w:rsidP="00315318" w:rsidRDefault="00315318" w14:paraId="5C184CE7" w14:textId="77777777"/>
    <w:p w:rsidR="00315318" w:rsidP="00315318" w:rsidRDefault="00315318" w14:paraId="2B4B182E" w14:textId="77777777">
      <w:r>
        <w:t>NatureServe. 2006. International Ecological Classification Standard: Terrestrial Ecological Classifications. NatureServe Central Databases. Arlington, VA, U.S.A. Data current as of 18 July 2006.</w:t>
      </w:r>
    </w:p>
    <w:p w:rsidR="00315318" w:rsidP="00315318" w:rsidRDefault="00315318" w14:paraId="7AEB6384" w14:textId="77777777"/>
    <w:p w:rsidR="00315318" w:rsidP="00315318" w:rsidRDefault="00315318" w14:paraId="3355B1BF" w14:textId="77777777">
      <w:r>
        <w:t xml:space="preserve">Turner, R.L., J.E. Van </w:t>
      </w:r>
      <w:proofErr w:type="spellStart"/>
      <w:r>
        <w:t>Kley</w:t>
      </w:r>
      <w:proofErr w:type="spellEnd"/>
      <w:r>
        <w:t>, L.S. Smith, and R.E. Evans. 1999. Ecological classification</w:t>
      </w:r>
    </w:p>
    <w:p w:rsidR="00315318" w:rsidP="00315318" w:rsidRDefault="00315318" w14:paraId="7990AA59" w14:textId="77777777">
      <w:r>
        <w:t>system for the national forests and adjacent areas of the West Gulf Coastal Plain. The</w:t>
      </w:r>
    </w:p>
    <w:p w:rsidR="00315318" w:rsidP="00315318" w:rsidRDefault="00315318" w14:paraId="3DE420DA" w14:textId="77777777">
      <w:r>
        <w:t>Nature Conservancy, Nacogdoches, TX, USA.</w:t>
      </w:r>
    </w:p>
    <w:p w:rsidR="00315318" w:rsidP="00315318" w:rsidRDefault="00315318" w14:paraId="73CD233C" w14:textId="77777777"/>
    <w:p w:rsidR="00315318" w:rsidP="00315318" w:rsidRDefault="00315318" w14:paraId="1FCD9F0C" w14:textId="77777777">
      <w:proofErr w:type="spellStart"/>
      <w:r>
        <w:t>Zollner</w:t>
      </w:r>
      <w:proofErr w:type="spellEnd"/>
      <w:r>
        <w:t>, D. and S. Simon. 1998. Grandview Prairie Wildlife Management Area and Conservation Education Center Ecological Assessment and Baseline Community Monitoring Plan and Budget. Project proposal. The Nature Conservancy – Arkansas Field Office, Little Rock, AR. 4 pp.</w:t>
      </w:r>
    </w:p>
    <w:p w:rsidR="00315318" w:rsidP="00315318" w:rsidRDefault="00315318" w14:paraId="2E5B58B7" w14:textId="77777777"/>
    <w:p w:rsidR="00315318" w:rsidP="00315318" w:rsidRDefault="00315318" w14:paraId="016737A8" w14:textId="77777777">
      <w:r>
        <w:t>Personal Communication</w:t>
      </w:r>
    </w:p>
    <w:p w:rsidR="00315318" w:rsidP="00315318" w:rsidRDefault="00315318" w14:paraId="6FCECCF8" w14:textId="77777777">
      <w:r>
        <w:t>Moore, Dave, Forest Ecologist, Mark Twain NF, 573.341.7457, dmoore@fs.fed.us.</w:t>
      </w:r>
    </w:p>
    <w:p w:rsidRPr="00A43E41" w:rsidR="004D5F12" w:rsidP="00315318" w:rsidRDefault="004D5F12" w14:paraId="6B9A34FD"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F1CB" w14:textId="77777777" w:rsidR="00124C80" w:rsidRDefault="00124C80">
      <w:r>
        <w:separator/>
      </w:r>
    </w:p>
  </w:endnote>
  <w:endnote w:type="continuationSeparator" w:id="0">
    <w:p w14:paraId="26051AB5" w14:textId="77777777" w:rsidR="00124C80" w:rsidRDefault="0012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500FC" w14:textId="77777777" w:rsidR="00CB4015" w:rsidRDefault="00CB4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BC343" w14:textId="77777777" w:rsidR="00315318" w:rsidRDefault="00315318" w:rsidP="003153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DBB22" w14:textId="77777777" w:rsidR="00CB4015" w:rsidRDefault="00CB4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C1363" w14:textId="77777777" w:rsidR="00124C80" w:rsidRDefault="00124C80">
      <w:r>
        <w:separator/>
      </w:r>
    </w:p>
  </w:footnote>
  <w:footnote w:type="continuationSeparator" w:id="0">
    <w:p w14:paraId="62331EE0" w14:textId="77777777" w:rsidR="00124C80" w:rsidRDefault="00124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F9A8" w14:textId="77777777" w:rsidR="00CB4015" w:rsidRDefault="00CB4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AA63" w14:textId="77777777" w:rsidR="00A43E41" w:rsidRDefault="00A43E41" w:rsidP="0031531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08956" w14:textId="77777777" w:rsidR="00CB4015" w:rsidRDefault="00CB4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4E8D"/>
    <w:pPr>
      <w:ind w:left="720"/>
    </w:pPr>
    <w:rPr>
      <w:rFonts w:ascii="Calibri" w:eastAsiaTheme="minorHAnsi" w:hAnsi="Calibri"/>
      <w:sz w:val="22"/>
      <w:szCs w:val="22"/>
    </w:rPr>
  </w:style>
  <w:style w:type="character" w:styleId="Hyperlink">
    <w:name w:val="Hyperlink"/>
    <w:basedOn w:val="DefaultParagraphFont"/>
    <w:rsid w:val="00224E8D"/>
    <w:rPr>
      <w:color w:val="0000FF" w:themeColor="hyperlink"/>
      <w:u w:val="single"/>
    </w:rPr>
  </w:style>
  <w:style w:type="paragraph" w:styleId="BalloonText">
    <w:name w:val="Balloon Text"/>
    <w:basedOn w:val="Normal"/>
    <w:link w:val="BalloonTextChar"/>
    <w:uiPriority w:val="99"/>
    <w:semiHidden/>
    <w:unhideWhenUsed/>
    <w:rsid w:val="00224E8D"/>
    <w:rPr>
      <w:rFonts w:ascii="Tahoma" w:hAnsi="Tahoma" w:cs="Tahoma"/>
      <w:sz w:val="16"/>
      <w:szCs w:val="16"/>
    </w:rPr>
  </w:style>
  <w:style w:type="character" w:customStyle="1" w:styleId="BalloonTextChar">
    <w:name w:val="Balloon Text Char"/>
    <w:basedOn w:val="DefaultParagraphFont"/>
    <w:link w:val="BalloonText"/>
    <w:uiPriority w:val="99"/>
    <w:semiHidden/>
    <w:rsid w:val="00224E8D"/>
    <w:rPr>
      <w:rFonts w:ascii="Tahoma" w:hAnsi="Tahoma" w:cs="Tahoma"/>
      <w:sz w:val="16"/>
      <w:szCs w:val="16"/>
    </w:rPr>
  </w:style>
  <w:style w:type="paragraph" w:customStyle="1" w:styleId="paragraph">
    <w:name w:val="paragraph"/>
    <w:basedOn w:val="Normal"/>
    <w:rsid w:val="000407F6"/>
  </w:style>
  <w:style w:type="character" w:customStyle="1" w:styleId="normaltextrun1">
    <w:name w:val="normaltextrun1"/>
    <w:basedOn w:val="DefaultParagraphFont"/>
    <w:rsid w:val="000407F6"/>
  </w:style>
  <w:style w:type="character" w:customStyle="1" w:styleId="eop">
    <w:name w:val="eop"/>
    <w:basedOn w:val="DefaultParagraphFont"/>
    <w:rsid w:val="000407F6"/>
  </w:style>
  <w:style w:type="character" w:styleId="CommentReference">
    <w:name w:val="annotation reference"/>
    <w:basedOn w:val="DefaultParagraphFont"/>
    <w:uiPriority w:val="99"/>
    <w:semiHidden/>
    <w:unhideWhenUsed/>
    <w:rsid w:val="00D27B8D"/>
    <w:rPr>
      <w:sz w:val="16"/>
      <w:szCs w:val="16"/>
    </w:rPr>
  </w:style>
  <w:style w:type="paragraph" w:styleId="CommentText">
    <w:name w:val="annotation text"/>
    <w:basedOn w:val="Normal"/>
    <w:link w:val="CommentTextChar"/>
    <w:uiPriority w:val="99"/>
    <w:semiHidden/>
    <w:unhideWhenUsed/>
    <w:rsid w:val="00D27B8D"/>
    <w:rPr>
      <w:sz w:val="20"/>
      <w:szCs w:val="20"/>
    </w:rPr>
  </w:style>
  <w:style w:type="character" w:customStyle="1" w:styleId="CommentTextChar">
    <w:name w:val="Comment Text Char"/>
    <w:basedOn w:val="DefaultParagraphFont"/>
    <w:link w:val="CommentText"/>
    <w:uiPriority w:val="99"/>
    <w:semiHidden/>
    <w:rsid w:val="00D27B8D"/>
  </w:style>
  <w:style w:type="paragraph" w:styleId="CommentSubject">
    <w:name w:val="annotation subject"/>
    <w:basedOn w:val="CommentText"/>
    <w:next w:val="CommentText"/>
    <w:link w:val="CommentSubjectChar"/>
    <w:uiPriority w:val="99"/>
    <w:semiHidden/>
    <w:unhideWhenUsed/>
    <w:rsid w:val="00D27B8D"/>
    <w:rPr>
      <w:b/>
      <w:bCs/>
    </w:rPr>
  </w:style>
  <w:style w:type="character" w:customStyle="1" w:styleId="CommentSubjectChar">
    <w:name w:val="Comment Subject Char"/>
    <w:basedOn w:val="CommentTextChar"/>
    <w:link w:val="CommentSubject"/>
    <w:uiPriority w:val="99"/>
    <w:semiHidden/>
    <w:rsid w:val="00D27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2666">
      <w:bodyDiv w:val="1"/>
      <w:marLeft w:val="0"/>
      <w:marRight w:val="0"/>
      <w:marTop w:val="0"/>
      <w:marBottom w:val="0"/>
      <w:divBdr>
        <w:top w:val="none" w:sz="0" w:space="0" w:color="auto"/>
        <w:left w:val="none" w:sz="0" w:space="0" w:color="auto"/>
        <w:bottom w:val="none" w:sz="0" w:space="0" w:color="auto"/>
        <w:right w:val="none" w:sz="0" w:space="0" w:color="auto"/>
      </w:divBdr>
    </w:div>
    <w:div w:id="1304507468">
      <w:bodyDiv w:val="1"/>
      <w:marLeft w:val="0"/>
      <w:marRight w:val="0"/>
      <w:marTop w:val="0"/>
      <w:marBottom w:val="0"/>
      <w:divBdr>
        <w:top w:val="none" w:sz="0" w:space="0" w:color="auto"/>
        <w:left w:val="none" w:sz="0" w:space="0" w:color="auto"/>
        <w:bottom w:val="none" w:sz="0" w:space="0" w:color="auto"/>
        <w:right w:val="none" w:sz="0" w:space="0" w:color="auto"/>
      </w:divBdr>
    </w:div>
    <w:div w:id="18555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2014-08-21T14:59:00Z</cp:lastPrinted>
  <dcterms:created xsi:type="dcterms:W3CDTF">2018-05-31T19:46:00Z</dcterms:created>
  <dcterms:modified xsi:type="dcterms:W3CDTF">2025-02-12T09:41:56Z</dcterms:modified>
</cp:coreProperties>
</file>