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9D8" w:rsidP="00EB79D8" w:rsidRDefault="00EB79D8">
      <w:pPr>
        <w:pStyle w:val="BpSTitle"/>
      </w:pPr>
      <w:r>
        <w:t>14540</w:t>
      </w:r>
    </w:p>
    <w:p w:rsidR="00EB79D8" w:rsidP="00EB79D8" w:rsidRDefault="00EB79D8">
      <w:pPr>
        <w:pStyle w:val="BpSTitle"/>
      </w:pPr>
      <w:r>
        <w:t>East Gulf Coastal Plain Near-Coast Pine Flatwoods</w:t>
      </w:r>
    </w:p>
    <w:p w:rsidR="00EB79D8" w:rsidP="00EB79D8" w:rsidRDefault="004D6E81">
      <w:r>
        <w:t xml:space="preserve">Model version: </w:t>
      </w:r>
      <w:r w:rsidR="00EB79D8">
        <w:t>2018</w:t>
      </w:r>
      <w:r w:rsidR="00EB79D8">
        <w:tab/>
      </w:r>
      <w:r w:rsidR="00EB79D8">
        <w:tab/>
      </w:r>
      <w:r w:rsidR="00EB79D8">
        <w:tab/>
      </w:r>
      <w:r w:rsidR="00EB79D8">
        <w:tab/>
      </w:r>
      <w:r w:rsidR="00EB79D8">
        <w:tab/>
      </w:r>
      <w:r w:rsidR="00EB79D8">
        <w:tab/>
      </w:r>
      <w:r w:rsidR="00EB79D8">
        <w:tab/>
      </w:r>
    </w:p>
    <w:p w:rsidR="00EB79D8" w:rsidP="00EB79D8" w:rsidRDefault="00EB79D8"/>
    <w:p w:rsidR="00C030F7" w:rsidP="00EB79D8" w:rsidRDefault="00C030F7"/>
    <w:p w:rsidR="00AC29D5" w:rsidP="00EB79D8" w:rsidRDefault="009039CD">
      <w:r w:rsidRPr="009039CD">
        <w:rPr>
          <w:b/>
        </w:rPr>
        <w:t xml:space="preserve">Reviewer: </w:t>
      </w:r>
      <w:r w:rsidR="00AC29D5">
        <w:t xml:space="preserve">Tim Christiansen, </w:t>
      </w:r>
      <w:hyperlink w:history="1" r:id="rId7">
        <w:r w:rsidRPr="00506BCF" w:rsidR="00AC29D5">
          <w:rPr>
            <w:rStyle w:val="Hyperlink"/>
          </w:rPr>
          <w:t>timothy.a.christiansen.ngf@mail.mil</w:t>
        </w:r>
      </w:hyperlink>
      <w:r w:rsidR="00C82758">
        <w:t xml:space="preserve">; Jim Smith, </w:t>
      </w:r>
      <w:hyperlink w:history="1" r:id="rId8">
        <w:r w:rsidRPr="00BD1002" w:rsidR="00C82758">
          <w:rPr>
            <w:rStyle w:val="Hyperlink"/>
          </w:rPr>
          <w:t>jim_smith@tnc.org</w:t>
        </w:r>
      </w:hyperlink>
      <w:r w:rsidR="00C82758">
        <w:t xml:space="preserve"> </w:t>
      </w:r>
    </w:p>
    <w:p w:rsidR="00EB79D8" w:rsidP="00EB79D8" w:rsidRDefault="00EB79D8">
      <w:pPr>
        <w:pStyle w:val="InfoPara"/>
      </w:pPr>
      <w:r>
        <w:t>Vegetation Type</w:t>
      </w:r>
    </w:p>
    <w:p w:rsidR="00EB79D8" w:rsidP="00EB79D8" w:rsidRDefault="002C4732">
      <w:r w:rsidRPr="002C4732">
        <w:t>Mixed Upland and Wetland</w:t>
      </w:r>
    </w:p>
    <w:p w:rsidR="00EB79D8" w:rsidP="00EB79D8" w:rsidRDefault="00EB79D8">
      <w:pPr>
        <w:pStyle w:val="InfoPara"/>
      </w:pPr>
      <w:r>
        <w:t>Map Zones</w:t>
      </w:r>
    </w:p>
    <w:p w:rsidR="00EB79D8" w:rsidP="00EB79D8" w:rsidRDefault="00B70A5C">
      <w:r>
        <w:t>55</w:t>
      </w:r>
      <w:r w:rsidR="004617C6">
        <w:t>,</w:t>
      </w:r>
      <w:r w:rsidR="007C607D">
        <w:t xml:space="preserve"> </w:t>
      </w:r>
      <w:r w:rsidR="004617C6">
        <w:t>56</w:t>
      </w:r>
      <w:r w:rsidR="00C82758">
        <w:t>, 99</w:t>
      </w:r>
    </w:p>
    <w:p w:rsidR="00EB79D8" w:rsidP="00EB79D8" w:rsidRDefault="00EB79D8">
      <w:pPr>
        <w:pStyle w:val="InfoPara"/>
      </w:pPr>
      <w:r>
        <w:t>Geographic Range</w:t>
      </w:r>
    </w:p>
    <w:p w:rsidR="00EB79D8" w:rsidP="00EB79D8" w:rsidRDefault="00EB79D8">
      <w:r>
        <w:t>This system of open forests or woodlands occupies broad, sandy flatlands in a relatively narrow band along the northern Gulf of Mexico coast east of the Mississippi River</w:t>
      </w:r>
      <w:r w:rsidR="007C607D">
        <w:t xml:space="preserve"> (</w:t>
      </w:r>
      <w:r>
        <w:t xml:space="preserve">see map in Peet and Allard </w:t>
      </w:r>
      <w:r w:rsidR="007C607D">
        <w:t>[</w:t>
      </w:r>
      <w:r>
        <w:t>1993]</w:t>
      </w:r>
      <w:r w:rsidR="007C607D">
        <w:t>)</w:t>
      </w:r>
      <w:r>
        <w:t>. This range corresponds roughly to Ecoregion 75a (EPA 2004) (NatureServe 2006).</w:t>
      </w:r>
    </w:p>
    <w:p w:rsidR="00EB79D8" w:rsidP="00EB79D8" w:rsidRDefault="00EB79D8">
      <w:pPr>
        <w:pStyle w:val="InfoPara"/>
      </w:pPr>
      <w:r>
        <w:t>Biophysical Site Description</w:t>
      </w:r>
    </w:p>
    <w:p w:rsidR="00EB79D8" w:rsidP="00EB79D8" w:rsidRDefault="00EB79D8">
      <w:r>
        <w:t xml:space="preserve">This </w:t>
      </w:r>
      <w:r w:rsidR="007C607D">
        <w:t>Biophysical Setting (</w:t>
      </w:r>
      <w:r>
        <w:t>BpS</w:t>
      </w:r>
      <w:r w:rsidR="007C607D">
        <w:t>)</w:t>
      </w:r>
      <w:r>
        <w:t xml:space="preserve"> occupies broad, sandy flatlands</w:t>
      </w:r>
      <w:r w:rsidR="007C607D">
        <w:t>,</w:t>
      </w:r>
      <w:r>
        <w:t xml:space="preserve"> which are subject to high fire</w:t>
      </w:r>
      <w:r w:rsidR="007C607D">
        <w:t xml:space="preserve"> </w:t>
      </w:r>
      <w:r>
        <w:t xml:space="preserve">return intervals </w:t>
      </w:r>
      <w:r w:rsidR="007C607D">
        <w:t xml:space="preserve">(FRIs) </w:t>
      </w:r>
      <w:r>
        <w:t xml:space="preserve">even though they are subject to seasonally </w:t>
      </w:r>
      <w:proofErr w:type="gramStart"/>
      <w:r>
        <w:t>high water</w:t>
      </w:r>
      <w:proofErr w:type="gramEnd"/>
      <w:r>
        <w:t xml:space="preserve"> tables. These areas are often called "flatwoods" or </w:t>
      </w:r>
      <w:r w:rsidR="007C607D">
        <w:t>"</w:t>
      </w:r>
      <w:r>
        <w:t>flatlands" (NatureServe 2006).</w:t>
      </w:r>
    </w:p>
    <w:p w:rsidR="00EB79D8" w:rsidP="00EB79D8" w:rsidRDefault="00EB79D8">
      <w:pPr>
        <w:pStyle w:val="InfoPara"/>
      </w:pPr>
      <w:r>
        <w:t>Vegetation Description</w:t>
      </w:r>
    </w:p>
    <w:p w:rsidR="00EB79D8" w:rsidP="00EB79D8" w:rsidRDefault="00EB79D8">
      <w:r>
        <w:t xml:space="preserve">Overstory vegetation is characterized by </w:t>
      </w:r>
      <w:r w:rsidRPr="009039CD">
        <w:rPr>
          <w:i/>
        </w:rPr>
        <w:t xml:space="preserve">Pinus </w:t>
      </w:r>
      <w:proofErr w:type="spellStart"/>
      <w:r w:rsidRPr="009039CD">
        <w:rPr>
          <w:i/>
        </w:rPr>
        <w:t>palustris</w:t>
      </w:r>
      <w:proofErr w:type="spellEnd"/>
      <w:r>
        <w:t xml:space="preserve"> and to a lesser degree by </w:t>
      </w:r>
      <w:r w:rsidRPr="009039CD">
        <w:rPr>
          <w:i/>
        </w:rPr>
        <w:t xml:space="preserve">Pinus </w:t>
      </w:r>
      <w:proofErr w:type="spellStart"/>
      <w:r w:rsidRPr="009039CD">
        <w:rPr>
          <w:i/>
        </w:rPr>
        <w:t>elliottii</w:t>
      </w:r>
      <w:proofErr w:type="spellEnd"/>
      <w:r>
        <w:t xml:space="preserve">. Some stands include </w:t>
      </w:r>
      <w:r w:rsidRPr="009039CD">
        <w:rPr>
          <w:i/>
        </w:rPr>
        <w:t xml:space="preserve">Pinus </w:t>
      </w:r>
      <w:proofErr w:type="spellStart"/>
      <w:r w:rsidRPr="009039CD">
        <w:rPr>
          <w:i/>
        </w:rPr>
        <w:t>serotina</w:t>
      </w:r>
      <w:proofErr w:type="spellEnd"/>
      <w:r>
        <w:t xml:space="preserve">. Understory conditions range from densely shrubby to open and herbaceous-dominated, based largely upon fire history (NatureServe 2006). Shrubs include </w:t>
      </w:r>
      <w:r w:rsidRPr="009039CD">
        <w:rPr>
          <w:i/>
        </w:rPr>
        <w:t xml:space="preserve">Quercus </w:t>
      </w:r>
      <w:proofErr w:type="spellStart"/>
      <w:r w:rsidRPr="009039CD">
        <w:rPr>
          <w:i/>
        </w:rPr>
        <w:t>geminata</w:t>
      </w:r>
      <w:proofErr w:type="spellEnd"/>
      <w:r>
        <w:t xml:space="preserve">, </w:t>
      </w:r>
      <w:r w:rsidRPr="009039CD">
        <w:rPr>
          <w:i/>
        </w:rPr>
        <w:t>Quercus minima</w:t>
      </w:r>
      <w:r>
        <w:t xml:space="preserve"> -</w:t>
      </w:r>
      <w:r w:rsidR="007C607D">
        <w:t>-</w:t>
      </w:r>
      <w:r>
        <w:t xml:space="preserve"> </w:t>
      </w:r>
      <w:r w:rsidRPr="009039CD">
        <w:rPr>
          <w:i/>
        </w:rPr>
        <w:t xml:space="preserve">Quercus </w:t>
      </w:r>
      <w:proofErr w:type="spellStart"/>
      <w:r w:rsidRPr="009039CD">
        <w:rPr>
          <w:i/>
        </w:rPr>
        <w:t>pumila</w:t>
      </w:r>
      <w:proofErr w:type="spellEnd"/>
      <w:r>
        <w:t xml:space="preserve">, </w:t>
      </w:r>
      <w:proofErr w:type="spellStart"/>
      <w:r w:rsidRPr="009039CD">
        <w:rPr>
          <w:i/>
        </w:rPr>
        <w:t>Serenoa</w:t>
      </w:r>
      <w:proofErr w:type="spellEnd"/>
      <w:r w:rsidRPr="009039CD">
        <w:rPr>
          <w:i/>
        </w:rPr>
        <w:t xml:space="preserve"> </w:t>
      </w:r>
      <w:proofErr w:type="spellStart"/>
      <w:r w:rsidRPr="009039CD">
        <w:rPr>
          <w:i/>
        </w:rPr>
        <w:t>repens</w:t>
      </w:r>
      <w:proofErr w:type="spellEnd"/>
      <w:r>
        <w:t xml:space="preserve">, </w:t>
      </w:r>
      <w:proofErr w:type="spellStart"/>
      <w:r w:rsidRPr="009039CD">
        <w:rPr>
          <w:i/>
        </w:rPr>
        <w:t>Cyrilla</w:t>
      </w:r>
      <w:proofErr w:type="spellEnd"/>
      <w:r w:rsidRPr="009039CD">
        <w:rPr>
          <w:i/>
        </w:rPr>
        <w:t xml:space="preserve"> </w:t>
      </w:r>
      <w:proofErr w:type="spellStart"/>
      <w:r w:rsidRPr="009039CD">
        <w:rPr>
          <w:i/>
        </w:rPr>
        <w:t>racemiflora</w:t>
      </w:r>
      <w:proofErr w:type="spellEnd"/>
      <w:r>
        <w:t xml:space="preserve">, </w:t>
      </w:r>
      <w:r w:rsidRPr="009039CD">
        <w:rPr>
          <w:i/>
        </w:rPr>
        <w:t xml:space="preserve">Ilex </w:t>
      </w:r>
      <w:proofErr w:type="spellStart"/>
      <w:r w:rsidRPr="009039CD">
        <w:rPr>
          <w:i/>
        </w:rPr>
        <w:t>coriacea</w:t>
      </w:r>
      <w:proofErr w:type="spellEnd"/>
      <w:r>
        <w:t xml:space="preserve">, </w:t>
      </w:r>
      <w:r w:rsidRPr="009039CD">
        <w:rPr>
          <w:i/>
        </w:rPr>
        <w:t xml:space="preserve">Ilex </w:t>
      </w:r>
      <w:proofErr w:type="spellStart"/>
      <w:r w:rsidRPr="009039CD">
        <w:rPr>
          <w:i/>
        </w:rPr>
        <w:t>glabra</w:t>
      </w:r>
      <w:proofErr w:type="spellEnd"/>
      <w:r>
        <w:t xml:space="preserve">, </w:t>
      </w:r>
      <w:r w:rsidRPr="009039CD">
        <w:rPr>
          <w:i/>
        </w:rPr>
        <w:t>Ilex vomitoria</w:t>
      </w:r>
      <w:r w:rsidR="007C607D">
        <w:t>,</w:t>
      </w:r>
      <w:r>
        <w:t xml:space="preserve"> and </w:t>
      </w:r>
      <w:r w:rsidRPr="009039CD">
        <w:rPr>
          <w:i/>
        </w:rPr>
        <w:t xml:space="preserve">Lyonia </w:t>
      </w:r>
      <w:proofErr w:type="spellStart"/>
      <w:r w:rsidRPr="009039CD">
        <w:rPr>
          <w:i/>
        </w:rPr>
        <w:t>lucida</w:t>
      </w:r>
      <w:proofErr w:type="spellEnd"/>
      <w:r>
        <w:t xml:space="preserve">. Herbaceous species may include </w:t>
      </w:r>
      <w:proofErr w:type="spellStart"/>
      <w:r w:rsidRPr="009039CD">
        <w:rPr>
          <w:i/>
        </w:rPr>
        <w:t>Aristida</w:t>
      </w:r>
      <w:proofErr w:type="spellEnd"/>
      <w:r w:rsidRPr="009039CD">
        <w:rPr>
          <w:i/>
        </w:rPr>
        <w:t xml:space="preserve"> </w:t>
      </w:r>
      <w:proofErr w:type="spellStart"/>
      <w:r w:rsidRPr="009039CD">
        <w:rPr>
          <w:i/>
        </w:rPr>
        <w:t>beyrichiana</w:t>
      </w:r>
      <w:proofErr w:type="spellEnd"/>
      <w:r>
        <w:t xml:space="preserve">, </w:t>
      </w:r>
      <w:proofErr w:type="spellStart"/>
      <w:r w:rsidRPr="009039CD">
        <w:rPr>
          <w:i/>
        </w:rPr>
        <w:t>Ctenium</w:t>
      </w:r>
      <w:proofErr w:type="spellEnd"/>
      <w:r w:rsidRPr="009039CD">
        <w:rPr>
          <w:i/>
        </w:rPr>
        <w:t xml:space="preserve"> </w:t>
      </w:r>
      <w:proofErr w:type="spellStart"/>
      <w:r w:rsidRPr="009039CD">
        <w:rPr>
          <w:i/>
        </w:rPr>
        <w:t>aromaticum</w:t>
      </w:r>
      <w:proofErr w:type="spellEnd"/>
      <w:r>
        <w:t xml:space="preserve">, </w:t>
      </w:r>
      <w:proofErr w:type="spellStart"/>
      <w:r w:rsidRPr="009039CD">
        <w:rPr>
          <w:i/>
        </w:rPr>
        <w:t>Muhlenbergia</w:t>
      </w:r>
      <w:proofErr w:type="spellEnd"/>
      <w:r w:rsidRPr="009039CD">
        <w:rPr>
          <w:i/>
        </w:rPr>
        <w:t xml:space="preserve"> </w:t>
      </w:r>
      <w:proofErr w:type="spellStart"/>
      <w:r w:rsidRPr="009039CD">
        <w:rPr>
          <w:i/>
        </w:rPr>
        <w:t>expansa</w:t>
      </w:r>
      <w:proofErr w:type="spellEnd"/>
      <w:r>
        <w:t xml:space="preserve">, </w:t>
      </w:r>
      <w:proofErr w:type="spellStart"/>
      <w:r w:rsidRPr="009039CD">
        <w:rPr>
          <w:i/>
        </w:rPr>
        <w:t>Schizachyrium</w:t>
      </w:r>
      <w:proofErr w:type="spellEnd"/>
      <w:r w:rsidRPr="009039CD">
        <w:rPr>
          <w:i/>
        </w:rPr>
        <w:t xml:space="preserve"> </w:t>
      </w:r>
      <w:proofErr w:type="spellStart"/>
      <w:r w:rsidRPr="009039CD">
        <w:rPr>
          <w:i/>
        </w:rPr>
        <w:t>scoparium</w:t>
      </w:r>
      <w:proofErr w:type="spellEnd"/>
      <w:r>
        <w:t xml:space="preserve">, </w:t>
      </w:r>
      <w:proofErr w:type="spellStart"/>
      <w:r w:rsidRPr="009039CD">
        <w:rPr>
          <w:i/>
        </w:rPr>
        <w:t>Sporobolus</w:t>
      </w:r>
      <w:proofErr w:type="spellEnd"/>
      <w:r w:rsidRPr="009039CD">
        <w:rPr>
          <w:i/>
        </w:rPr>
        <w:t xml:space="preserve"> floridanus</w:t>
      </w:r>
      <w:r>
        <w:t xml:space="preserve">, </w:t>
      </w:r>
      <w:proofErr w:type="spellStart"/>
      <w:r w:rsidRPr="009039CD">
        <w:rPr>
          <w:i/>
        </w:rPr>
        <w:t>Carphephorus</w:t>
      </w:r>
      <w:proofErr w:type="spellEnd"/>
      <w:r w:rsidRPr="009039CD">
        <w:rPr>
          <w:i/>
        </w:rPr>
        <w:t xml:space="preserve"> </w:t>
      </w:r>
      <w:proofErr w:type="spellStart"/>
      <w:r w:rsidRPr="009039CD">
        <w:rPr>
          <w:i/>
        </w:rPr>
        <w:t>pseudoliatris</w:t>
      </w:r>
      <w:proofErr w:type="spellEnd"/>
      <w:r>
        <w:t xml:space="preserve">, </w:t>
      </w:r>
      <w:proofErr w:type="spellStart"/>
      <w:r w:rsidRPr="009039CD">
        <w:rPr>
          <w:i/>
        </w:rPr>
        <w:t>Sarracenia</w:t>
      </w:r>
      <w:proofErr w:type="spellEnd"/>
      <w:r w:rsidRPr="009039CD">
        <w:rPr>
          <w:i/>
        </w:rPr>
        <w:t xml:space="preserve"> </w:t>
      </w:r>
      <w:proofErr w:type="spellStart"/>
      <w:r w:rsidRPr="009039CD">
        <w:rPr>
          <w:i/>
        </w:rPr>
        <w:t>alata</w:t>
      </w:r>
      <w:proofErr w:type="spellEnd"/>
      <w:r>
        <w:t xml:space="preserve">, </w:t>
      </w:r>
      <w:proofErr w:type="spellStart"/>
      <w:r w:rsidRPr="009039CD">
        <w:rPr>
          <w:i/>
        </w:rPr>
        <w:t>Agalinis</w:t>
      </w:r>
      <w:proofErr w:type="spellEnd"/>
      <w:r w:rsidRPr="009039CD">
        <w:rPr>
          <w:i/>
        </w:rPr>
        <w:t xml:space="preserve"> </w:t>
      </w:r>
      <w:proofErr w:type="spellStart"/>
      <w:r w:rsidRPr="009039CD">
        <w:rPr>
          <w:i/>
        </w:rPr>
        <w:t>filicaulis</w:t>
      </w:r>
      <w:proofErr w:type="spellEnd"/>
      <w:r>
        <w:t xml:space="preserve">, </w:t>
      </w:r>
      <w:r w:rsidRPr="009039CD">
        <w:rPr>
          <w:i/>
        </w:rPr>
        <w:t xml:space="preserve">Polygala </w:t>
      </w:r>
      <w:proofErr w:type="spellStart"/>
      <w:r w:rsidRPr="009039CD">
        <w:rPr>
          <w:i/>
        </w:rPr>
        <w:t>cymosa</w:t>
      </w:r>
      <w:proofErr w:type="spellEnd"/>
      <w:r>
        <w:t xml:space="preserve">, </w:t>
      </w:r>
      <w:proofErr w:type="spellStart"/>
      <w:r w:rsidRPr="009039CD">
        <w:rPr>
          <w:i/>
        </w:rPr>
        <w:t>Rhynchospora</w:t>
      </w:r>
      <w:proofErr w:type="spellEnd"/>
      <w:r>
        <w:t xml:space="preserve"> spp</w:t>
      </w:r>
      <w:r w:rsidR="007C607D">
        <w:t>.,</w:t>
      </w:r>
      <w:r>
        <w:t xml:space="preserve"> and </w:t>
      </w:r>
      <w:r w:rsidRPr="009039CD">
        <w:rPr>
          <w:i/>
        </w:rPr>
        <w:t>Helianthus radula</w:t>
      </w:r>
      <w:r>
        <w:t xml:space="preserve"> (NatureServe 2006).</w:t>
      </w:r>
    </w:p>
    <w:p w:rsidR="00EB79D8" w:rsidP="00EB79D8" w:rsidRDefault="00EB79D8">
      <w:pPr>
        <w:pStyle w:val="InfoPara"/>
      </w:pPr>
      <w:r>
        <w:t>BpS Dominant and Indicator Species</w:t>
      </w:r>
    </w:p>
    <w:p w:rsidR="00075358" w:rsidRDefault="005B09B0">
      <w:r>
        <w:rPr>
          <w:sz w:val="16"/>
        </w:rPr>
        <w:t>Species names are from the NRCS PLANTS database. Check species codes at http://plants.usda.gov.</w:t>
      </w:r>
    </w:p>
    <w:p w:rsidR="00EB79D8" w:rsidP="00EB79D8" w:rsidRDefault="00EB79D8">
      <w:pPr>
        <w:pStyle w:val="InfoPara"/>
      </w:pPr>
      <w:r>
        <w:t>Disturbance Description</w:t>
      </w:r>
    </w:p>
    <w:p w:rsidR="00EB79D8" w:rsidP="00EB79D8" w:rsidRDefault="00EB79D8">
      <w:r>
        <w:t xml:space="preserve">These areas, often called "flatwoods" or "flatlands," are subject to high </w:t>
      </w:r>
      <w:r w:rsidR="007C607D">
        <w:t>FRIs</w:t>
      </w:r>
      <w:r>
        <w:t xml:space="preserve"> even though they are subject to seasonally </w:t>
      </w:r>
      <w:proofErr w:type="gramStart"/>
      <w:r>
        <w:t>high water</w:t>
      </w:r>
      <w:proofErr w:type="gramEnd"/>
      <w:r>
        <w:t xml:space="preserve"> tables (NatureServe 2006).</w:t>
      </w:r>
    </w:p>
    <w:p w:rsidR="00EB79D8" w:rsidP="00EB79D8" w:rsidRDefault="00EB79D8"/>
    <w:p w:rsidR="00EB79D8" w:rsidP="00EB79D8" w:rsidRDefault="00EB79D8">
      <w:r>
        <w:t xml:space="preserve">Frequent surface fires, often occurring every 1-3yrs but ranging up to </w:t>
      </w:r>
      <w:r w:rsidR="007C607D">
        <w:t>5yr</w:t>
      </w:r>
      <w:r>
        <w:t xml:space="preserve"> intervals, generally burn most of the vegetation. The mean fire return interval</w:t>
      </w:r>
      <w:r w:rsidR="0088528F">
        <w:t xml:space="preserve"> </w:t>
      </w:r>
      <w:r>
        <w:t xml:space="preserve">is skewed toward the more frequent end of this range. Fires are usually low to moderate in intensity overall, generally resulting in </w:t>
      </w:r>
      <w:proofErr w:type="spellStart"/>
      <w:r>
        <w:t>topkill</w:t>
      </w:r>
      <w:proofErr w:type="spellEnd"/>
      <w:r>
        <w:t xml:space="preserve"> of the lower and middle layers, but periodically will kill young regeneration patches and occasionally individual older trees. Although fire can occur in any season, in pre-European settlement times many lightning fires probably occurred during the dry summer season, although Native Americans were common in these areas and represented a significant ignition source. In this landscape, frequency is more important than seasonality, </w:t>
      </w:r>
      <w:proofErr w:type="gramStart"/>
      <w:r>
        <w:t>as long as</w:t>
      </w:r>
      <w:proofErr w:type="gramEnd"/>
      <w:r>
        <w:t xml:space="preserve"> the season of burn is varied periodically. This community is subjected to hurricanes</w:t>
      </w:r>
      <w:r w:rsidR="007C607D">
        <w:t>,</w:t>
      </w:r>
      <w:r>
        <w:t xml:space="preserve"> which may cause thinning of stands, localized blowdown or uprooting of stands, or perhaps rarely blowdowns or larger areas. Flooding may cause vegetation changes at ecotones with wetland types.</w:t>
      </w:r>
    </w:p>
    <w:p w:rsidRPr="005809CF" w:rsidR="00BD25EC" w:rsidP="00EB79D8" w:rsidRDefault="00BD25EC"/>
    <w:p w:rsidRPr="005809CF" w:rsidR="00BD25EC" w:rsidP="00EB79D8" w:rsidRDefault="00BD25EC">
      <w:r w:rsidRPr="005809CF">
        <w:t xml:space="preserve">An increase in hurricanes due to climate warming could increase the </w:t>
      </w:r>
      <w:proofErr w:type="gramStart"/>
      <w:r w:rsidRPr="005809CF">
        <w:t>amount</w:t>
      </w:r>
      <w:proofErr w:type="gramEnd"/>
      <w:r w:rsidRPr="005809CF">
        <w:t xml:space="preserve"> of localized blowdowns. </w:t>
      </w:r>
      <w:r w:rsidRPr="005809CF" w:rsidR="008A433E">
        <w:t>This could increase the percentage of moderate fire frequencies.</w:t>
      </w:r>
    </w:p>
    <w:p w:rsidR="00BD25EC" w:rsidP="00EB79D8" w:rsidRDefault="00BD25EC"/>
    <w:p w:rsidR="00EB79D8" w:rsidP="00EB79D8" w:rsidRDefault="00EB79D8">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75358" w:rsidRDefault="005B09B0">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B79D8" w:rsidP="00EB79D8" w:rsidRDefault="00EB79D8">
      <w:pPr>
        <w:pStyle w:val="InfoPara"/>
      </w:pPr>
      <w:r>
        <w:t>Scale Description</w:t>
      </w:r>
    </w:p>
    <w:p w:rsidR="00EB79D8" w:rsidP="00EB79D8" w:rsidRDefault="00EB79D8">
      <w:r>
        <w:t>Low</w:t>
      </w:r>
      <w:r w:rsidR="007C607D">
        <w:t>-</w:t>
      </w:r>
      <w:r>
        <w:t xml:space="preserve">intensity fires may have ranged in size from very small to </w:t>
      </w:r>
      <w:r w:rsidR="007C607D">
        <w:t xml:space="preserve">1,000s </w:t>
      </w:r>
      <w:r>
        <w:t xml:space="preserve">of acres pre-fragmentation. Replacement fires may have been localized to </w:t>
      </w:r>
      <w:r w:rsidR="007C607D">
        <w:t>&lt;1ac</w:t>
      </w:r>
      <w:r>
        <w:t xml:space="preserve"> or as large as </w:t>
      </w:r>
      <w:r w:rsidR="007C607D">
        <w:t>100s</w:t>
      </w:r>
      <w:r>
        <w:t xml:space="preserve"> of acres. Hurricane and wind damage may have ranged from single trees to a few tens of acres scattered in the landscape. Flooding disturbance probably was limited to a few acres. Patch size of this type may range from 10ac to </w:t>
      </w:r>
      <w:r w:rsidR="007C607D">
        <w:t xml:space="preserve">1,000s </w:t>
      </w:r>
      <w:r>
        <w:t>of acres, forming the matrix within which other types are imbedded, especially in F</w:t>
      </w:r>
      <w:r w:rsidR="007C607D">
        <w:t>lorida</w:t>
      </w:r>
      <w:r>
        <w:t>.</w:t>
      </w:r>
    </w:p>
    <w:p w:rsidR="00EB79D8" w:rsidP="00EB79D8" w:rsidRDefault="00EB79D8">
      <w:pPr>
        <w:pStyle w:val="InfoPara"/>
      </w:pPr>
      <w:r>
        <w:t>Adjacency or Identification Concerns</w:t>
      </w:r>
    </w:p>
    <w:p w:rsidR="00EB79D8" w:rsidP="00EB79D8" w:rsidRDefault="00EB79D8">
      <w:r>
        <w:t>Mesic-dry flatwoods exists as matrix in which many other types occur, often due to slight elevation changes, fire shadows</w:t>
      </w:r>
      <w:r w:rsidR="007C607D">
        <w:t xml:space="preserve">, </w:t>
      </w:r>
      <w:r>
        <w:t>or strips parallel to extended elevation gradients between uplands and wetlands. In dry locations, it may grade into more upland pine savannas. The wetter end may grade into cypress depressions, marshes</w:t>
      </w:r>
      <w:r w:rsidR="007C607D">
        <w:t>,</w:t>
      </w:r>
      <w:r>
        <w:t xml:space="preserve"> or wet prairies.</w:t>
      </w:r>
    </w:p>
    <w:p w:rsidR="00EB79D8" w:rsidP="00EB79D8" w:rsidRDefault="00EB79D8"/>
    <w:p w:rsidR="00EB79D8" w:rsidP="00EB79D8" w:rsidRDefault="00EB79D8">
      <w:r>
        <w:lastRenderedPageBreak/>
        <w:t>Similar Ecological Systems noted by NatureServe (2006) include: Atlantic Coastal Plain Southern Wet Pine Savanna and Flatwoods (CES203.536) (BpS 1450); Central Florida Pine Flatwoods (CES203.382) (BpS 1453); and East Gulf Coastal Plain Interior Upland Longleaf Pine Woodland (CES203.496) (BpS 1349).</w:t>
      </w:r>
    </w:p>
    <w:p w:rsidR="00EB79D8" w:rsidP="00EB79D8" w:rsidRDefault="00EB79D8">
      <w:pPr>
        <w:pStyle w:val="InfoPara"/>
      </w:pPr>
      <w:r>
        <w:t>Issues or Problems</w:t>
      </w:r>
    </w:p>
    <w:p w:rsidR="00EB79D8" w:rsidP="00EB79D8" w:rsidRDefault="00EB79D8"/>
    <w:p w:rsidR="00EB79D8" w:rsidP="00EB79D8" w:rsidRDefault="00EB79D8">
      <w:pPr>
        <w:pStyle w:val="InfoPara"/>
      </w:pPr>
      <w:r>
        <w:t>Native Uncharacteristic Conditions</w:t>
      </w:r>
    </w:p>
    <w:p w:rsidR="00EB79D8" w:rsidP="00EB79D8" w:rsidRDefault="00EB79D8"/>
    <w:p w:rsidR="00EB79D8" w:rsidP="00EB79D8" w:rsidRDefault="00EB79D8">
      <w:pPr>
        <w:pStyle w:val="InfoPara"/>
      </w:pPr>
      <w:r>
        <w:t>Comments</w:t>
      </w:r>
    </w:p>
    <w:p w:rsidR="00EB79D8" w:rsidP="00EB79D8" w:rsidRDefault="00EB79D8">
      <w:r>
        <w:t>The VDDT model was adopted from BpS 1450 -- Atlantic Coastal Plain Southern Wet Pine Savanna and Flatwoods. This BpS is very similar to 1450</w:t>
      </w:r>
      <w:r w:rsidR="007C607D">
        <w:t xml:space="preserve">, </w:t>
      </w:r>
      <w:r>
        <w:t>but much of the descriptive information was pulled from NatureServe (2006).</w:t>
      </w:r>
    </w:p>
    <w:p w:rsidR="00C82758" w:rsidP="00EB79D8" w:rsidRDefault="00C82758"/>
    <w:p w:rsidR="00C82758" w:rsidP="00EB79D8" w:rsidRDefault="00C82758">
      <w:r>
        <w:t xml:space="preserve">Reviewer (Smith) combined MZ99 with MZ55 and MZ56 during final stages of the 2017 BpS review process. The model and description from MZ99 did not </w:t>
      </w:r>
      <w:r w:rsidR="0045644D">
        <w:t xml:space="preserve">fully </w:t>
      </w:r>
      <w:r>
        <w:t>reflect the concept description on NatureServe Explorer nor some of the text in the original BpS description</w:t>
      </w:r>
      <w:r w:rsidR="0045644D">
        <w:t>, and was very different from the MZ55/56 model and description without justification (same model developer)</w:t>
      </w:r>
      <w:r>
        <w:t xml:space="preserve">. </w:t>
      </w:r>
    </w:p>
    <w:p w:rsidR="004617C6" w:rsidP="00EB79D8" w:rsidRDefault="004617C6"/>
    <w:p w:rsidR="00EB79D8" w:rsidP="00EB79D8" w:rsidRDefault="00EB79D8">
      <w:pPr>
        <w:pStyle w:val="ReportSection"/>
      </w:pPr>
      <w:r>
        <w:t>Succession Classes</w:t>
      </w:r>
    </w:p>
    <w:p w:rsidR="00EB79D8" w:rsidP="00EB79D8" w:rsidRDefault="00EB79D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B79D8" w:rsidP="00EB79D8" w:rsidRDefault="00EB79D8">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00EB79D8" w:rsidP="00EB79D8" w:rsidRDefault="00EB79D8"/>
    <w:p w:rsidR="00EB79D8" w:rsidP="00EB79D8" w:rsidRDefault="00EB79D8">
      <w:pPr>
        <w:pStyle w:val="SClassInfoPara"/>
      </w:pPr>
      <w:r>
        <w:t>Indicator Species</w:t>
      </w:r>
    </w:p>
    <w:p w:rsidR="00EB79D8" w:rsidP="00EB79D8" w:rsidRDefault="00EB79D8"/>
    <w:p w:rsidR="00EB79D8" w:rsidP="00EB79D8" w:rsidRDefault="00EB79D8">
      <w:pPr>
        <w:pStyle w:val="SClassInfoPara"/>
      </w:pPr>
      <w:r>
        <w:t>Description</w:t>
      </w:r>
    </w:p>
    <w:p w:rsidR="00EB79D8" w:rsidP="00EB79D8" w:rsidRDefault="00EB79D8">
      <w:r>
        <w:t>Class A is a post</w:t>
      </w:r>
      <w:r w:rsidR="007C607D">
        <w:t>-</w:t>
      </w:r>
      <w:r>
        <w:t>replacement stage of longleaf pi</w:t>
      </w:r>
      <w:r w:rsidR="00852737">
        <w:t xml:space="preserve">ne regeneration </w:t>
      </w:r>
      <w:r>
        <w:t xml:space="preserve">that occurs within canopy gaps, mostly single tree to quarter acre in size or larger areas after major storms. The native ground cover consists of </w:t>
      </w:r>
      <w:r w:rsidRPr="009039CD">
        <w:rPr>
          <w:i/>
        </w:rPr>
        <w:t xml:space="preserve">Ilex </w:t>
      </w:r>
      <w:proofErr w:type="spellStart"/>
      <w:r w:rsidRPr="009039CD">
        <w:rPr>
          <w:i/>
        </w:rPr>
        <w:t>glabra</w:t>
      </w:r>
      <w:proofErr w:type="spellEnd"/>
      <w:r>
        <w:t xml:space="preserve"> seedlings</w:t>
      </w:r>
      <w:r w:rsidR="00E461DA">
        <w:t>:</w:t>
      </w:r>
      <w:r>
        <w:t xml:space="preserve"> panic grasses, toothache grass, wiregrasses may also occur. Herbaceous species may include bog buttons, yellow-eyed grasses</w:t>
      </w:r>
      <w:r w:rsidR="007C607D">
        <w:t>,</w:t>
      </w:r>
      <w:r>
        <w:t xml:space="preserve"> and pitcher plants.</w:t>
      </w:r>
    </w:p>
    <w:p w:rsidR="00EB79D8" w:rsidP="00EB79D8" w:rsidRDefault="00EB79D8"/>
    <w:p w:rsidR="00075358" w:rsidRDefault="005B09B0">
      <w:r>
        <w:rPr>
          <w:i/>
          <w:u w:val="single"/>
        </w:rPr>
        <w:t>Maximum Tree Size Class</w:t>
      </w:r>
      <w:r>
        <w:br/>
        <w:t>Sapling &gt;4.5ft; &lt;5" DBH</w:t>
      </w:r>
    </w:p>
    <w:p w:rsidR="00EB79D8" w:rsidP="00EB79D8" w:rsidRDefault="00EB79D8">
      <w:pPr>
        <w:pStyle w:val="InfoPara"/>
        <w:pBdr>
          <w:top w:val="single" w:color="auto" w:sz="4" w:space="1"/>
        </w:pBdr>
      </w:pPr>
      <w:r>
        <w:t>Class B</w:t>
      </w:r>
      <w:r>
        <w:tab/>
        <w:t>6</w:t>
      </w:r>
      <w:r w:rsidR="002A3B10">
        <w:tab/>
      </w:r>
      <w:r w:rsidR="002A3B10">
        <w:tab/>
      </w:r>
      <w:r w:rsidR="002A3B10">
        <w:tab/>
      </w:r>
      <w:r w:rsidR="002A3B10">
        <w:tab/>
      </w:r>
      <w:r w:rsidR="004F7795">
        <w:t>Mid Development 1 - Closed</w:t>
      </w:r>
    </w:p>
    <w:p w:rsidR="00EB79D8" w:rsidP="00EB79D8" w:rsidRDefault="00EB79D8"/>
    <w:p w:rsidR="00EB79D8" w:rsidP="00EB79D8" w:rsidRDefault="00EB79D8">
      <w:pPr>
        <w:pStyle w:val="SClassInfoPara"/>
      </w:pPr>
      <w:r>
        <w:t>Indicator Species</w:t>
      </w:r>
    </w:p>
    <w:p w:rsidR="00EB79D8" w:rsidP="00EB79D8" w:rsidRDefault="00EB79D8"/>
    <w:p w:rsidR="00EB79D8" w:rsidP="00EB79D8" w:rsidRDefault="00EB79D8">
      <w:pPr>
        <w:pStyle w:val="SClassInfoPara"/>
      </w:pPr>
      <w:r>
        <w:t>Description</w:t>
      </w:r>
    </w:p>
    <w:p w:rsidR="00075358" w:rsidRDefault="005B09B0">
      <w:r>
        <w:rPr>
          <w:i/>
          <w:u w:val="single"/>
        </w:rPr>
        <w:t>Maximum Tree Size Class</w:t>
      </w:r>
      <w:r>
        <w:br/>
        <w:t>Medium 9-21" DBH</w:t>
      </w:r>
    </w:p>
    <w:p w:rsidR="00EB79D8" w:rsidP="00EB79D8" w:rsidRDefault="00EB79D8">
      <w:r>
        <w:t>Class B is characterized as a mid-seral closed stage with patches, mostly quarter acre or less in siz</w:t>
      </w:r>
      <w:r w:rsidR="005F44A0">
        <w:t xml:space="preserve">e, of canopy pines </w:t>
      </w:r>
      <w:r>
        <w:t xml:space="preserve">and a substantial component of shrubs such as </w:t>
      </w:r>
      <w:r w:rsidRPr="009039CD">
        <w:rPr>
          <w:i/>
        </w:rPr>
        <w:t xml:space="preserve">Ilex </w:t>
      </w:r>
      <w:proofErr w:type="spellStart"/>
      <w:r w:rsidRPr="009039CD">
        <w:rPr>
          <w:i/>
        </w:rPr>
        <w:t>glabra</w:t>
      </w:r>
      <w:proofErr w:type="spellEnd"/>
      <w:r>
        <w:t xml:space="preserve"> and other </w:t>
      </w:r>
      <w:r w:rsidRPr="009039CD">
        <w:rPr>
          <w:i/>
        </w:rPr>
        <w:t>Ilex</w:t>
      </w:r>
      <w:r>
        <w:t xml:space="preserve"> spp</w:t>
      </w:r>
      <w:r w:rsidR="007C607D">
        <w:t>.</w:t>
      </w:r>
      <w:r>
        <w:t xml:space="preserve"> encroaching in the absence of </w:t>
      </w:r>
      <w:r w:rsidR="00C62F4E">
        <w:t>fire. The shrub presence is high</w:t>
      </w:r>
      <w:r>
        <w:t>. The cano</w:t>
      </w:r>
      <w:r w:rsidR="00C62F4E">
        <w:t>py pine cover has a wide range, d</w:t>
      </w:r>
      <w:r>
        <w:t xml:space="preserve">istinguished from </w:t>
      </w:r>
      <w:r w:rsidR="007C607D">
        <w:t>Cl</w:t>
      </w:r>
      <w:r>
        <w:t>ass C by a greater presence of a hardwood</w:t>
      </w:r>
      <w:r w:rsidR="00C62F4E">
        <w:t xml:space="preserve"> </w:t>
      </w:r>
      <w:proofErr w:type="spellStart"/>
      <w:r w:rsidR="00C62F4E">
        <w:t>midstory</w:t>
      </w:r>
      <w:proofErr w:type="spellEnd"/>
      <w:r w:rsidR="00C62F4E">
        <w:t>. The shrub component can be</w:t>
      </w:r>
      <w:r>
        <w:t xml:space="preserve"> significant in the absenc</w:t>
      </w:r>
      <w:r w:rsidR="00C62F4E">
        <w:t>e of fire</w:t>
      </w:r>
      <w:r>
        <w:t>.</w:t>
      </w:r>
    </w:p>
    <w:p w:rsidR="00EB79D8" w:rsidP="00EB79D8" w:rsidRDefault="00EB79D8"/>
    <w:p w:rsidR="00EB79D8" w:rsidP="00EB79D8" w:rsidRDefault="00EB79D8">
      <w:pPr>
        <w:pStyle w:val="InfoPara"/>
        <w:pBdr>
          <w:top w:val="single" w:color="auto" w:sz="4" w:space="1"/>
        </w:pBdr>
      </w:pPr>
      <w:r>
        <w:t>Class C</w:t>
      </w:r>
      <w:r>
        <w:tab/>
        <w:t>34</w:t>
      </w:r>
      <w:r w:rsidR="002A3B10">
        <w:tab/>
      </w:r>
      <w:r w:rsidR="002A3B10">
        <w:tab/>
      </w:r>
      <w:r w:rsidR="002A3B10">
        <w:tab/>
      </w:r>
      <w:r w:rsidR="002A3B10">
        <w:tab/>
      </w:r>
      <w:r w:rsidR="004F7795">
        <w:t>Mid Development 1 - Open</w:t>
      </w:r>
    </w:p>
    <w:p w:rsidR="00EB79D8" w:rsidP="00EB79D8" w:rsidRDefault="00EB79D8"/>
    <w:p w:rsidR="00EB79D8" w:rsidP="00EB79D8" w:rsidRDefault="00EB79D8">
      <w:pPr>
        <w:pStyle w:val="SClassInfoPara"/>
      </w:pPr>
      <w:r>
        <w:t>Indicator Species</w:t>
      </w:r>
    </w:p>
    <w:p w:rsidR="00EB79D8" w:rsidP="00EB79D8" w:rsidRDefault="00EB79D8"/>
    <w:p w:rsidR="00EB79D8" w:rsidP="00EB79D8" w:rsidRDefault="00EB79D8">
      <w:pPr>
        <w:pStyle w:val="SClassInfoPara"/>
      </w:pPr>
      <w:r>
        <w:t>Description</w:t>
      </w:r>
    </w:p>
    <w:p w:rsidR="00075358" w:rsidRDefault="005B09B0">
      <w:r>
        <w:rPr>
          <w:i/>
          <w:u w:val="single"/>
        </w:rPr>
        <w:t>Maximum Tree Size Class</w:t>
      </w:r>
      <w:r>
        <w:br/>
        <w:t>Medium 9-21" DBH</w:t>
      </w:r>
    </w:p>
    <w:p w:rsidR="00EB79D8" w:rsidP="00EB79D8" w:rsidRDefault="00EB79D8">
      <w:r>
        <w:t>Class C is characterized by a mid-seral open condition with a continuo</w:t>
      </w:r>
      <w:r w:rsidR="00D234CB">
        <w:t xml:space="preserve">us canopy of pines </w:t>
      </w:r>
      <w:r>
        <w:t>and a minimal hardwood component due to frequent fire. The cano</w:t>
      </w:r>
      <w:r w:rsidR="00C16C71">
        <w:t>py pine cover range is wide</w:t>
      </w:r>
      <w:r>
        <w:t>. The ground cover is mostly sparse grasses due to shading of shrubs above.</w:t>
      </w:r>
    </w:p>
    <w:p w:rsidR="00EB79D8" w:rsidP="00EB79D8" w:rsidRDefault="00EB79D8"/>
    <w:p w:rsidR="00EB79D8" w:rsidP="00EB79D8" w:rsidRDefault="00AD109D">
      <w:pPr>
        <w:pStyle w:val="InfoPara"/>
        <w:pBdr>
          <w:top w:val="single" w:color="auto" w:sz="4" w:space="1"/>
        </w:pBdr>
      </w:pPr>
      <w:r>
        <w:t>Class D</w:t>
      </w:r>
      <w:r>
        <w:tab/>
        <w:t>34</w:t>
      </w:r>
      <w:r w:rsidR="002A3B10">
        <w:tab/>
      </w:r>
      <w:r w:rsidR="002A3B10">
        <w:tab/>
      </w:r>
      <w:r w:rsidR="002A3B10">
        <w:tab/>
      </w:r>
      <w:r w:rsidR="002A3B10">
        <w:tab/>
      </w:r>
      <w:r w:rsidR="004F7795">
        <w:t>Late Development 1 - Open</w:t>
      </w:r>
    </w:p>
    <w:p w:rsidR="00EB79D8" w:rsidP="00EB79D8" w:rsidRDefault="00EB79D8"/>
    <w:p w:rsidR="00EB79D8" w:rsidP="00EB79D8" w:rsidRDefault="00EB79D8">
      <w:pPr>
        <w:pStyle w:val="SClassInfoPara"/>
      </w:pPr>
      <w:r>
        <w:t>Indicator Species</w:t>
      </w:r>
    </w:p>
    <w:p w:rsidR="00EB79D8" w:rsidP="00EB79D8" w:rsidRDefault="00EB79D8"/>
    <w:p w:rsidR="00EB79D8" w:rsidP="00EB79D8" w:rsidRDefault="00EB79D8">
      <w:pPr>
        <w:pStyle w:val="SClassInfoPara"/>
      </w:pPr>
      <w:r>
        <w:t>Description</w:t>
      </w:r>
    </w:p>
    <w:p w:rsidR="00075358" w:rsidRDefault="005B09B0">
      <w:r>
        <w:rPr>
          <w:i/>
          <w:u w:val="single"/>
        </w:rPr>
        <w:t>Maximum Tree Size Class</w:t>
      </w:r>
      <w:r>
        <w:br/>
        <w:t>Large 21-33" DBH</w:t>
      </w:r>
    </w:p>
    <w:p w:rsidR="00EB79D8" w:rsidP="00EB79D8" w:rsidRDefault="00EB79D8">
      <w:r>
        <w:lastRenderedPageBreak/>
        <w:t>Class D is characterized by a late-seral open condition with a co</w:t>
      </w:r>
      <w:r w:rsidR="00D234CB">
        <w:t xml:space="preserve">ntinuous canopy of pines </w:t>
      </w:r>
      <w:r>
        <w:t xml:space="preserve">and a minimal component of hardwoods. The ground cover is sparse with few scattered grasses with some shrub presence such as </w:t>
      </w:r>
      <w:r w:rsidRPr="009039CD">
        <w:rPr>
          <w:i/>
        </w:rPr>
        <w:t xml:space="preserve">Ilex </w:t>
      </w:r>
      <w:proofErr w:type="spellStart"/>
      <w:r w:rsidRPr="009039CD">
        <w:rPr>
          <w:i/>
        </w:rPr>
        <w:t>glabra</w:t>
      </w:r>
      <w:proofErr w:type="spellEnd"/>
      <w:r>
        <w:t xml:space="preserve"> and </w:t>
      </w:r>
      <w:r w:rsidRPr="009039CD">
        <w:rPr>
          <w:i/>
        </w:rPr>
        <w:t>Ilex vomitoria</w:t>
      </w:r>
      <w:r>
        <w:t>.</w:t>
      </w:r>
    </w:p>
    <w:p w:rsidR="00EB79D8" w:rsidP="00EB79D8" w:rsidRDefault="00EB79D8"/>
    <w:p w:rsidR="00EB79D8" w:rsidP="00EB79D8" w:rsidRDefault="00AD109D">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EB79D8" w:rsidP="00EB79D8" w:rsidRDefault="00EB79D8"/>
    <w:p w:rsidR="00EB79D8" w:rsidP="00EB79D8" w:rsidRDefault="00EB79D8">
      <w:pPr>
        <w:pStyle w:val="SClassInfoPara"/>
      </w:pPr>
      <w:r>
        <w:t>Indicator Species</w:t>
      </w:r>
    </w:p>
    <w:p w:rsidR="00EB79D8" w:rsidP="00EB79D8" w:rsidRDefault="00EB79D8"/>
    <w:p w:rsidR="00EB79D8" w:rsidP="00EB79D8" w:rsidRDefault="00EB79D8">
      <w:pPr>
        <w:pStyle w:val="SClassInfoPara"/>
      </w:pPr>
      <w:r>
        <w:t>Description</w:t>
      </w:r>
    </w:p>
    <w:p w:rsidR="00075358" w:rsidRDefault="005B09B0">
      <w:r>
        <w:rPr>
          <w:i/>
          <w:u w:val="single"/>
        </w:rPr>
        <w:t>Maximum Tree Size Class</w:t>
      </w:r>
      <w:r>
        <w:br/>
        <w:t>Large 21-33" DBH</w:t>
      </w:r>
    </w:p>
    <w:p w:rsidR="00EB79D8" w:rsidP="00EB79D8" w:rsidRDefault="00EB79D8">
      <w:r>
        <w:t>Class E is characterized by a late-seral closed stage with patches</w:t>
      </w:r>
      <w:r w:rsidR="00A41E57">
        <w:t xml:space="preserve"> of canopy pines</w:t>
      </w:r>
      <w:r>
        <w:t xml:space="preserve"> and a substantial component of hardwoods in either the overstory or </w:t>
      </w:r>
      <w:proofErr w:type="spellStart"/>
      <w:r>
        <w:t>midstory</w:t>
      </w:r>
      <w:proofErr w:type="spellEnd"/>
      <w:r>
        <w:t>. The ground cover is shrubby</w:t>
      </w:r>
      <w:r w:rsidR="0088144F">
        <w:t>-</w:t>
      </w:r>
      <w:r>
        <w:t>dominated. The hardwood an</w:t>
      </w:r>
      <w:r w:rsidR="00CF6F6A">
        <w:t>d encroaching pine cover is high</w:t>
      </w:r>
      <w:r>
        <w:t>.</w:t>
      </w:r>
      <w:r w:rsidR="00CF6F6A">
        <w:t xml:space="preserve"> The hardwood component </w:t>
      </w:r>
      <w:r>
        <w:t xml:space="preserve">differentiates this class from </w:t>
      </w:r>
      <w:r w:rsidR="0088144F">
        <w:t>C</w:t>
      </w:r>
      <w:r>
        <w:t>lass D.</w:t>
      </w:r>
    </w:p>
    <w:p w:rsidR="00EB79D8" w:rsidP="00EB79D8" w:rsidRDefault="00EB79D8"/>
    <w:p w:rsidR="00075358" w:rsidRDefault="005B09B0">
      <w:pPr>
        <w:pStyle w:val="ReportSection"/>
      </w:pPr>
      <w:r>
        <w:t>Model Parameters</w:t>
      </w:r>
    </w:p>
    <w:p>
      <w:pPr>
        <w:pStyle w:val="InfoPara"/>
      </w:pPr>
      <w:r>
        <w:t>Deterministic Transitions</w:t>
      </w:r>
    </w:p>
    <w:p>
      <w:pPr>
        <w:pStyle w:val="InfoPara"/>
      </w:pPr>
      <w:r>
        <w:t>Probabilistic Transitions</w:t>
      </w:r>
    </w:p>
    <w:p w:rsidR="00075358" w:rsidRDefault="00075358">
      <w:bookmarkStart w:name="_GoBack" w:id="0"/>
      <w:bookmarkEnd w:id="0"/>
    </w:p>
    <w:p>
      <w:pPr>
        <w:pStyle w:val="ReportSection"/>
      </w:pPr>
      <w:r>
        <w:t>Model Parameters</w:t>
      </w:r>
    </w:p>
    <w:p>
      <w:r>
        <w:t/>
      </w:r>
    </w:p>
    <w:p>
      <w:pPr>
        <w:pStyle w:val="ReportSection"/>
      </w:pPr>
      <w:r>
        <w:t>References</w:t>
      </w:r>
    </w:p>
    <w:p>
      <w:r>
        <w:t/>
      </w:r>
    </w:p>
    <w:p w:rsidR="00075358" w:rsidRDefault="00075358"/>
    <w:p w:rsidR="00EB79D8" w:rsidP="00EB79D8" w:rsidRDefault="00EB79D8">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EB79D8" w:rsidP="00EB79D8" w:rsidRDefault="00EB79D8"/>
    <w:p w:rsidR="00EB79D8" w:rsidP="00EB79D8" w:rsidRDefault="00EB79D8">
      <w:r>
        <w:t>EPA [Environmental Protection Agency]. 2004. Level III and IV Ecoregions of EPA Region 4. US Environmental Protection Agency, National Health and Environmental Effects Research Laboratory, Western Ecology Division, Corvallis, OR. Scale 1:2,000,000.</w:t>
      </w:r>
    </w:p>
    <w:p w:rsidR="00EB79D8" w:rsidP="00EB79D8" w:rsidRDefault="00EB79D8"/>
    <w:p w:rsidR="00EB79D8" w:rsidP="00EB79D8" w:rsidRDefault="00EB79D8">
      <w:r>
        <w:t xml:space="preserve">Myers, R.L. and </w:t>
      </w:r>
      <w:proofErr w:type="spellStart"/>
      <w:r>
        <w:t>Ewel</w:t>
      </w:r>
      <w:proofErr w:type="spellEnd"/>
      <w:r>
        <w:t>, J.J. 1990. Ecosystems of Florida. Orlando, FL: University of Central Florida Press. 765 pp.</w:t>
      </w:r>
    </w:p>
    <w:p w:rsidR="00EB79D8" w:rsidP="00EB79D8" w:rsidRDefault="00EB79D8"/>
    <w:p w:rsidR="00EB79D8" w:rsidP="00EB79D8" w:rsidRDefault="00EB79D8">
      <w:r>
        <w:t>NatureServe. 2006. International Ecological Classification Standard: Terrestrial Ecological Classifications. NatureServe Central Databases. Arlington, VA, U.S.A. Data current as of 18 July 2006.</w:t>
      </w:r>
    </w:p>
    <w:p w:rsidR="00EB79D8" w:rsidP="00EB79D8" w:rsidRDefault="00EB79D8"/>
    <w:p w:rsidR="00EB79D8" w:rsidP="00EB79D8" w:rsidRDefault="00EB79D8">
      <w:r>
        <w:lastRenderedPageBreak/>
        <w:t>NatureServe. 2007. International Ecological Classification Standard: Terrestrial Ecological Classifications. NatureServe Central Databases. Arlington, VA. Data current as of 10 February 2007.</w:t>
      </w:r>
    </w:p>
    <w:p w:rsidR="00EB79D8" w:rsidP="00EB79D8" w:rsidRDefault="00EB79D8"/>
    <w:p w:rsidR="00EB79D8" w:rsidP="00EB79D8" w:rsidRDefault="00EB79D8">
      <w:r>
        <w:t>Schmidt, K.M., J.P. Menakis, C.C. Hardy, W.J. Hann and D.L. Bunnell. 2002. Development of coarse-scale spatial data for wildland fire and fuel management. Gen. Tech. Rep. RMRS-GTR-87. Fort Collins, CO: USDA Forest Service, Rocky Mountain Research Station. 41 pp. + CD.</w:t>
      </w:r>
    </w:p>
    <w:p w:rsidR="00EB79D8" w:rsidP="00EB79D8" w:rsidRDefault="00EB79D8"/>
    <w:p w:rsidR="00EB79D8" w:rsidP="00EB79D8" w:rsidRDefault="00EB79D8">
      <w:r>
        <w:t>USDA Forest Service, Rocky Mountain Research Station, Fire Sciences Laboratory (2002, December). Fire Effects Information System, [Online]. Available: http://www.fs.fed.us/database/feis/.</w:t>
      </w:r>
    </w:p>
    <w:p w:rsidRPr="00A43E41" w:rsidR="004D5F12" w:rsidP="00EB79D8" w:rsidRDefault="004D5F12"/>
    <w:sectPr w:rsidRPr="00A43E41" w:rsidR="004D5F12" w:rsidSect="00FE41C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E2E" w:rsidRDefault="00EC4E2E">
      <w:r>
        <w:separator/>
      </w:r>
    </w:p>
  </w:endnote>
  <w:endnote w:type="continuationSeparator" w:id="0">
    <w:p w:rsidR="00EC4E2E" w:rsidRDefault="00EC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EC" w:rsidRDefault="00BD2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EC" w:rsidRDefault="00BD25EC" w:rsidP="00EB79D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EC" w:rsidRDefault="00BD2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E2E" w:rsidRDefault="00EC4E2E">
      <w:r>
        <w:separator/>
      </w:r>
    </w:p>
  </w:footnote>
  <w:footnote w:type="continuationSeparator" w:id="0">
    <w:p w:rsidR="00EC4E2E" w:rsidRDefault="00EC4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EC" w:rsidRDefault="00BD2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EC" w:rsidRDefault="00BD25EC" w:rsidP="00EB79D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5EC" w:rsidRDefault="00BD2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617C6"/>
    <w:pPr>
      <w:ind w:left="720"/>
    </w:pPr>
    <w:rPr>
      <w:rFonts w:ascii="Calibri" w:eastAsiaTheme="minorHAnsi" w:hAnsi="Calibri"/>
      <w:sz w:val="22"/>
      <w:szCs w:val="22"/>
    </w:rPr>
  </w:style>
  <w:style w:type="character" w:styleId="Hyperlink">
    <w:name w:val="Hyperlink"/>
    <w:basedOn w:val="DefaultParagraphFont"/>
    <w:rsid w:val="004617C6"/>
    <w:rPr>
      <w:color w:val="0000FF" w:themeColor="hyperlink"/>
      <w:u w:val="single"/>
    </w:rPr>
  </w:style>
  <w:style w:type="paragraph" w:styleId="BalloonText">
    <w:name w:val="Balloon Text"/>
    <w:basedOn w:val="Normal"/>
    <w:link w:val="BalloonTextChar"/>
    <w:uiPriority w:val="99"/>
    <w:semiHidden/>
    <w:unhideWhenUsed/>
    <w:rsid w:val="004617C6"/>
    <w:rPr>
      <w:rFonts w:ascii="Tahoma" w:hAnsi="Tahoma" w:cs="Tahoma"/>
      <w:sz w:val="16"/>
      <w:szCs w:val="16"/>
    </w:rPr>
  </w:style>
  <w:style w:type="character" w:customStyle="1" w:styleId="BalloonTextChar">
    <w:name w:val="Balloon Text Char"/>
    <w:basedOn w:val="DefaultParagraphFont"/>
    <w:link w:val="BalloonText"/>
    <w:uiPriority w:val="99"/>
    <w:semiHidden/>
    <w:rsid w:val="004617C6"/>
    <w:rPr>
      <w:rFonts w:ascii="Tahoma" w:hAnsi="Tahoma" w:cs="Tahoma"/>
      <w:sz w:val="16"/>
      <w:szCs w:val="16"/>
    </w:rPr>
  </w:style>
  <w:style w:type="character" w:styleId="CommentReference">
    <w:name w:val="annotation reference"/>
    <w:basedOn w:val="DefaultParagraphFont"/>
    <w:uiPriority w:val="99"/>
    <w:semiHidden/>
    <w:unhideWhenUsed/>
    <w:rsid w:val="00BD25EC"/>
    <w:rPr>
      <w:sz w:val="16"/>
      <w:szCs w:val="16"/>
    </w:rPr>
  </w:style>
  <w:style w:type="paragraph" w:styleId="CommentText">
    <w:name w:val="annotation text"/>
    <w:basedOn w:val="Normal"/>
    <w:link w:val="CommentTextChar"/>
    <w:uiPriority w:val="99"/>
    <w:semiHidden/>
    <w:unhideWhenUsed/>
    <w:rsid w:val="00BD25EC"/>
    <w:rPr>
      <w:sz w:val="20"/>
      <w:szCs w:val="20"/>
    </w:rPr>
  </w:style>
  <w:style w:type="character" w:customStyle="1" w:styleId="CommentTextChar">
    <w:name w:val="Comment Text Char"/>
    <w:basedOn w:val="DefaultParagraphFont"/>
    <w:link w:val="CommentText"/>
    <w:uiPriority w:val="99"/>
    <w:semiHidden/>
    <w:rsid w:val="00BD25EC"/>
  </w:style>
  <w:style w:type="paragraph" w:styleId="CommentSubject">
    <w:name w:val="annotation subject"/>
    <w:basedOn w:val="CommentText"/>
    <w:next w:val="CommentText"/>
    <w:link w:val="CommentSubjectChar"/>
    <w:uiPriority w:val="99"/>
    <w:semiHidden/>
    <w:unhideWhenUsed/>
    <w:rsid w:val="00BD25EC"/>
    <w:rPr>
      <w:b/>
      <w:bCs/>
    </w:rPr>
  </w:style>
  <w:style w:type="character" w:customStyle="1" w:styleId="CommentSubjectChar">
    <w:name w:val="Comment Subject Char"/>
    <w:basedOn w:val="CommentTextChar"/>
    <w:link w:val="CommentSubject"/>
    <w:uiPriority w:val="99"/>
    <w:semiHidden/>
    <w:rsid w:val="00BD25EC"/>
    <w:rPr>
      <w:b/>
      <w:bCs/>
    </w:rPr>
  </w:style>
  <w:style w:type="character" w:styleId="Mention">
    <w:name w:val="Mention"/>
    <w:basedOn w:val="DefaultParagraphFont"/>
    <w:uiPriority w:val="99"/>
    <w:semiHidden/>
    <w:unhideWhenUsed/>
    <w:rsid w:val="00AC29D5"/>
    <w:rPr>
      <w:color w:val="2B579A"/>
      <w:shd w:val="clear" w:color="auto" w:fill="E6E6E6"/>
    </w:rPr>
  </w:style>
  <w:style w:type="character" w:styleId="UnresolvedMention">
    <w:name w:val="Unresolved Mention"/>
    <w:basedOn w:val="DefaultParagraphFont"/>
    <w:uiPriority w:val="99"/>
    <w:semiHidden/>
    <w:unhideWhenUsed/>
    <w:rsid w:val="00C030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807087">
      <w:bodyDiv w:val="1"/>
      <w:marLeft w:val="0"/>
      <w:marRight w:val="0"/>
      <w:marTop w:val="0"/>
      <w:marBottom w:val="0"/>
      <w:divBdr>
        <w:top w:val="none" w:sz="0" w:space="0" w:color="auto"/>
        <w:left w:val="none" w:sz="0" w:space="0" w:color="auto"/>
        <w:bottom w:val="none" w:sz="0" w:space="0" w:color="auto"/>
        <w:right w:val="none" w:sz="0" w:space="0" w:color="auto"/>
      </w:divBdr>
    </w:div>
    <w:div w:id="7426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jim_smith@tnc.org"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mailto:timothy.a.christiansen.ngf@mail.mil" TargetMode="External"/>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6</TotalTime>
  <Pages>6</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8</cp:revision>
  <cp:lastPrinted>2014-08-21T15:13:00Z</cp:lastPrinted>
  <dcterms:created xsi:type="dcterms:W3CDTF">2018-04-12T12:31:00Z</dcterms:created>
  <dcterms:modified xsi:type="dcterms:W3CDTF">2025-02-12T09:41:58Z</dcterms:modified>
</cp:coreProperties>
</file>