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77D" w:rsidP="0095177D" w:rsidRDefault="0095177D">
      <w:pPr>
        <w:pStyle w:val="BpSTitle"/>
      </w:pPr>
      <w:r>
        <w:t>14670</w:t>
      </w:r>
    </w:p>
    <w:p w:rsidR="0095177D" w:rsidP="0095177D" w:rsidRDefault="0095177D">
      <w:pPr>
        <w:pStyle w:val="BpSTitle"/>
      </w:pPr>
      <w:proofErr w:type="spellStart"/>
      <w:r>
        <w:t>Tamaulipan</w:t>
      </w:r>
      <w:proofErr w:type="spellEnd"/>
      <w:r>
        <w:t xml:space="preserve"> Floodplain</w:t>
      </w:r>
    </w:p>
    <w:p w:rsidR="0095177D" w:rsidP="0095177D" w:rsidRDefault="0095177D">
      <w:r>
        <w:t>BpS Model/Description Version: Aug. 2020</w:t>
      </w:r>
      <w:r>
        <w:tab/>
      </w:r>
      <w:r>
        <w:tab/>
      </w:r>
      <w:r>
        <w:tab/>
      </w:r>
      <w:r>
        <w:tab/>
      </w:r>
      <w:r>
        <w:tab/>
      </w:r>
      <w:r>
        <w:tab/>
      </w:r>
      <w:r>
        <w:tab/>
      </w:r>
    </w:p>
    <w:p w:rsidR="0095177D" w:rsidP="0095177D" w:rsidRDefault="0095177D"/>
    <w:p w:rsidR="0095177D" w:rsidP="0095177D" w:rsidRDefault="0095177D"/>
    <w:p w:rsidR="0095177D" w:rsidP="0095177D" w:rsidRDefault="0095177D">
      <w:pPr>
        <w:pStyle w:val="InfoPara"/>
      </w:pPr>
      <w:r>
        <w:t>Vegetation Type</w:t>
      </w:r>
    </w:p>
    <w:p w:rsidR="0095177D" w:rsidP="0095177D" w:rsidRDefault="006051FF">
      <w:r w:rsidRPr="006051FF">
        <w:t>Woody Wetland</w:t>
      </w:r>
      <w:bookmarkStart w:name="_GoBack" w:id="0"/>
      <w:bookmarkEnd w:id="0"/>
    </w:p>
    <w:p w:rsidR="0095177D" w:rsidP="0095177D" w:rsidRDefault="0095177D">
      <w:pPr>
        <w:pStyle w:val="InfoPara"/>
      </w:pPr>
      <w:r>
        <w:t>Map Zones</w:t>
      </w:r>
    </w:p>
    <w:p w:rsidR="0095177D" w:rsidP="0095177D" w:rsidRDefault="0095177D">
      <w:r>
        <w:t>36</w:t>
      </w:r>
    </w:p>
    <w:p w:rsidR="0095177D" w:rsidP="0095177D" w:rsidRDefault="0095177D">
      <w:pPr>
        <w:pStyle w:val="InfoPara"/>
      </w:pPr>
      <w:r>
        <w:t>Geographic Range</w:t>
      </w:r>
    </w:p>
    <w:p w:rsidR="0095177D" w:rsidP="0095177D" w:rsidRDefault="0095177D">
      <w:r>
        <w:t xml:space="preserve">Floodplains and </w:t>
      </w:r>
      <w:proofErr w:type="spellStart"/>
      <w:r>
        <w:t>resacas</w:t>
      </w:r>
      <w:proofErr w:type="spellEnd"/>
      <w:r>
        <w:t xml:space="preserve"> on or adjacent to the Rio Grande and larger rivers of Northeastern Mexico. </w:t>
      </w:r>
      <w:proofErr w:type="spellStart"/>
      <w:r>
        <w:t>Resacas</w:t>
      </w:r>
      <w:proofErr w:type="spellEnd"/>
      <w:r>
        <w:t xml:space="preserve"> are restricted to the delta of the Rio Grande. In TX this occurs from western Hidalgo County to the coast.</w:t>
      </w:r>
    </w:p>
    <w:p w:rsidR="0095177D" w:rsidP="0095177D" w:rsidRDefault="0095177D">
      <w:pPr>
        <w:pStyle w:val="InfoPara"/>
      </w:pPr>
      <w:r>
        <w:t>Biophysical Site Description</w:t>
      </w:r>
    </w:p>
    <w:p w:rsidR="0095177D" w:rsidP="0095177D" w:rsidRDefault="0095177D">
      <w:r>
        <w:t>Low topographic position generally with poorly drained clay soils. Seasonally wet depending on rainfall. This does not include the terrace or slope leading to terrace tops. Historically, this woodland along with riparian woodlands were very extensive occupying much of the area of the Rio Grande Delta.</w:t>
      </w:r>
    </w:p>
    <w:p w:rsidR="0095177D" w:rsidP="0095177D" w:rsidRDefault="0095177D">
      <w:pPr>
        <w:pStyle w:val="InfoPara"/>
      </w:pPr>
      <w:r>
        <w:t>Vegetation Description</w:t>
      </w:r>
    </w:p>
    <w:p w:rsidR="0095177D" w:rsidP="0095177D" w:rsidRDefault="0095177D">
      <w:r>
        <w:t>Canopy dominated by sugarberry (</w:t>
      </w:r>
      <w:proofErr w:type="spellStart"/>
      <w:r w:rsidRPr="00F85B72">
        <w:rPr>
          <w:i/>
        </w:rPr>
        <w:t>Celtis</w:t>
      </w:r>
      <w:proofErr w:type="spellEnd"/>
      <w:r w:rsidRPr="00F85B72">
        <w:rPr>
          <w:i/>
        </w:rPr>
        <w:t xml:space="preserve"> </w:t>
      </w:r>
      <w:proofErr w:type="spellStart"/>
      <w:r w:rsidRPr="00F85B72">
        <w:rPr>
          <w:i/>
        </w:rPr>
        <w:t>laevigata</w:t>
      </w:r>
      <w:proofErr w:type="spellEnd"/>
      <w:r>
        <w:t xml:space="preserve">), great </w:t>
      </w:r>
      <w:proofErr w:type="spellStart"/>
      <w:r>
        <w:t>leadtree</w:t>
      </w:r>
      <w:proofErr w:type="spellEnd"/>
      <w:r>
        <w:t xml:space="preserve"> (</w:t>
      </w:r>
      <w:proofErr w:type="spellStart"/>
      <w:r w:rsidRPr="00F85B72">
        <w:rPr>
          <w:i/>
        </w:rPr>
        <w:t>Leucaena</w:t>
      </w:r>
      <w:proofErr w:type="spellEnd"/>
      <w:r w:rsidRPr="00F85B72">
        <w:rPr>
          <w:i/>
        </w:rPr>
        <w:t xml:space="preserve"> </w:t>
      </w:r>
      <w:proofErr w:type="spellStart"/>
      <w:r w:rsidRPr="00F85B72">
        <w:rPr>
          <w:i/>
        </w:rPr>
        <w:t>pulverulenta</w:t>
      </w:r>
      <w:proofErr w:type="spellEnd"/>
      <w:r>
        <w:t>), cedar elm (</w:t>
      </w:r>
      <w:proofErr w:type="spellStart"/>
      <w:r w:rsidRPr="00F85B72">
        <w:rPr>
          <w:i/>
        </w:rPr>
        <w:t>Ulmus</w:t>
      </w:r>
      <w:proofErr w:type="spellEnd"/>
      <w:r w:rsidRPr="00F85B72">
        <w:rPr>
          <w:i/>
        </w:rPr>
        <w:t xml:space="preserve"> </w:t>
      </w:r>
      <w:proofErr w:type="spellStart"/>
      <w:r w:rsidRPr="00F85B72">
        <w:rPr>
          <w:i/>
        </w:rPr>
        <w:t>crassifolia</w:t>
      </w:r>
      <w:proofErr w:type="spellEnd"/>
      <w:r>
        <w:t>), honey mesquite (</w:t>
      </w:r>
      <w:r w:rsidRPr="00F85B72">
        <w:rPr>
          <w:i/>
        </w:rPr>
        <w:t xml:space="preserve">Prosopis </w:t>
      </w:r>
      <w:proofErr w:type="spellStart"/>
      <w:r w:rsidRPr="00F85B72">
        <w:rPr>
          <w:i/>
        </w:rPr>
        <w:t>glandulosa</w:t>
      </w:r>
      <w:proofErr w:type="spellEnd"/>
      <w:r>
        <w:t>)</w:t>
      </w:r>
      <w:r w:rsidR="00F85B72">
        <w:t>,</w:t>
      </w:r>
      <w:r>
        <w:t xml:space="preserve"> and Jerusalem thorn (</w:t>
      </w:r>
      <w:proofErr w:type="spellStart"/>
      <w:r w:rsidRPr="00F85B72">
        <w:rPr>
          <w:i/>
        </w:rPr>
        <w:t>Parkinsonia</w:t>
      </w:r>
      <w:proofErr w:type="spellEnd"/>
      <w:r w:rsidRPr="00F85B72">
        <w:rPr>
          <w:i/>
        </w:rPr>
        <w:t xml:space="preserve"> </w:t>
      </w:r>
      <w:proofErr w:type="spellStart"/>
      <w:r w:rsidRPr="00F85B72">
        <w:rPr>
          <w:i/>
        </w:rPr>
        <w:t>aculeata</w:t>
      </w:r>
      <w:proofErr w:type="spellEnd"/>
      <w:r>
        <w:t>). Shrub layer dominated by spiny hackberry (</w:t>
      </w:r>
      <w:proofErr w:type="spellStart"/>
      <w:r w:rsidRPr="00F85B72">
        <w:rPr>
          <w:i/>
        </w:rPr>
        <w:t>Celtis</w:t>
      </w:r>
      <w:proofErr w:type="spellEnd"/>
      <w:r w:rsidRPr="00F85B72">
        <w:rPr>
          <w:i/>
        </w:rPr>
        <w:t xml:space="preserve"> pallida</w:t>
      </w:r>
      <w:r>
        <w:t>) or sometimes black mimosa (</w:t>
      </w:r>
      <w:r w:rsidRPr="00F85B72">
        <w:rPr>
          <w:i/>
        </w:rPr>
        <w:t xml:space="preserve">Mimosa </w:t>
      </w:r>
      <w:proofErr w:type="spellStart"/>
      <w:r w:rsidRPr="00F85B72">
        <w:rPr>
          <w:i/>
        </w:rPr>
        <w:t>pigra</w:t>
      </w:r>
      <w:proofErr w:type="spellEnd"/>
      <w:r>
        <w:t xml:space="preserve">). Understory may be dominated by bushy </w:t>
      </w:r>
      <w:proofErr w:type="spellStart"/>
      <w:r>
        <w:t>lippia</w:t>
      </w:r>
      <w:proofErr w:type="spellEnd"/>
      <w:r>
        <w:t xml:space="preserve"> (</w:t>
      </w:r>
      <w:proofErr w:type="spellStart"/>
      <w:r w:rsidRPr="00F85B72">
        <w:rPr>
          <w:i/>
        </w:rPr>
        <w:t>Lippia</w:t>
      </w:r>
      <w:proofErr w:type="spellEnd"/>
      <w:r w:rsidRPr="00F85B72">
        <w:rPr>
          <w:i/>
        </w:rPr>
        <w:t xml:space="preserve"> alba</w:t>
      </w:r>
      <w:r>
        <w:t>), blood sage (</w:t>
      </w:r>
      <w:r w:rsidRPr="00F85B72">
        <w:rPr>
          <w:i/>
        </w:rPr>
        <w:t>Salvia coccinea</w:t>
      </w:r>
      <w:r>
        <w:t>), Jack in the bush (</w:t>
      </w:r>
      <w:proofErr w:type="spellStart"/>
      <w:r w:rsidRPr="00F85B72">
        <w:rPr>
          <w:i/>
        </w:rPr>
        <w:t>Chromolaena</w:t>
      </w:r>
      <w:proofErr w:type="spellEnd"/>
      <w:r w:rsidRPr="00F85B72">
        <w:rPr>
          <w:i/>
        </w:rPr>
        <w:t xml:space="preserve"> </w:t>
      </w:r>
      <w:proofErr w:type="spellStart"/>
      <w:r w:rsidRPr="00F85B72">
        <w:rPr>
          <w:i/>
        </w:rPr>
        <w:t>odorata</w:t>
      </w:r>
      <w:proofErr w:type="spellEnd"/>
      <w:r>
        <w:t>), Canada germander (</w:t>
      </w:r>
      <w:r w:rsidRPr="00F85B72">
        <w:rPr>
          <w:i/>
        </w:rPr>
        <w:t xml:space="preserve">Teucrium </w:t>
      </w:r>
      <w:proofErr w:type="spellStart"/>
      <w:r w:rsidRPr="00F85B72">
        <w:rPr>
          <w:i/>
        </w:rPr>
        <w:t>canadense</w:t>
      </w:r>
      <w:proofErr w:type="spellEnd"/>
      <w:r>
        <w:t>) or knotweed (</w:t>
      </w:r>
      <w:r w:rsidRPr="00F85B72">
        <w:rPr>
          <w:i/>
        </w:rPr>
        <w:t>Polygonum</w:t>
      </w:r>
      <w:r>
        <w:t xml:space="preserve"> spp.; usually </w:t>
      </w:r>
      <w:proofErr w:type="spellStart"/>
      <w:r w:rsidRPr="00F85B72">
        <w:rPr>
          <w:i/>
        </w:rPr>
        <w:t>pennsylvanicum</w:t>
      </w:r>
      <w:proofErr w:type="spellEnd"/>
      <w:r>
        <w:t>). If one starts at Roma and heads eastward, tree species richness increases to about the Sabal Palm Sanctuary then decreases precipitously as one nears the Gulf coast. The non-natives Guinea grass (</w:t>
      </w:r>
      <w:proofErr w:type="spellStart"/>
      <w:r w:rsidRPr="00F85B72">
        <w:rPr>
          <w:i/>
        </w:rPr>
        <w:t>Urochloa</w:t>
      </w:r>
      <w:proofErr w:type="spellEnd"/>
      <w:r w:rsidRPr="00F85B72">
        <w:rPr>
          <w:i/>
        </w:rPr>
        <w:t xml:space="preserve"> maxima</w:t>
      </w:r>
      <w:r>
        <w:t>) and buffelgrass (</w:t>
      </w:r>
      <w:proofErr w:type="spellStart"/>
      <w:r w:rsidRPr="00F85B72">
        <w:rPr>
          <w:i/>
        </w:rPr>
        <w:t>Pennisetum</w:t>
      </w:r>
      <w:proofErr w:type="spellEnd"/>
      <w:r w:rsidRPr="00F85B72">
        <w:rPr>
          <w:i/>
        </w:rPr>
        <w:t xml:space="preserve"> </w:t>
      </w:r>
      <w:proofErr w:type="spellStart"/>
      <w:r w:rsidRPr="00F85B72">
        <w:rPr>
          <w:i/>
        </w:rPr>
        <w:t>ciliare</w:t>
      </w:r>
      <w:proofErr w:type="spellEnd"/>
      <w:r>
        <w:t>) are dominant species in the ground layer.</w:t>
      </w:r>
    </w:p>
    <w:p w:rsidR="0095177D" w:rsidP="0095177D" w:rsidRDefault="0095177D">
      <w:pPr>
        <w:pStyle w:val="InfoPara"/>
      </w:pPr>
      <w:r>
        <w:t>BpS Dominant and Indicator Species</w:t>
      </w:r>
    </w:p>
    <w:p>
      <w:r>
        <w:rPr>
          <w:sz w:val="16"/>
        </w:rPr>
        <w:t>Species names are from the NRCS PLANTS database. Check species codes at http://plants.usda.gov.</w:t>
      </w:r>
    </w:p>
    <w:p w:rsidR="0095177D" w:rsidP="0095177D" w:rsidRDefault="0095177D">
      <w:pPr>
        <w:pStyle w:val="InfoPara"/>
      </w:pPr>
      <w:r>
        <w:t>Disturbance Description</w:t>
      </w:r>
    </w:p>
    <w:p w:rsidR="0095177D" w:rsidP="0095177D" w:rsidRDefault="0095177D">
      <w:r>
        <w:t>Disturbance was primarily flooding and to a lesser extent fire may have occurred within these woodlands and forests. Occurrence of patches of reed (</w:t>
      </w:r>
      <w:r w:rsidRPr="00F85B72">
        <w:rPr>
          <w:i/>
        </w:rPr>
        <w:t>Phragmites</w:t>
      </w:r>
      <w:r>
        <w:t xml:space="preserve"> spp.) may have provided </w:t>
      </w:r>
      <w:r>
        <w:lastRenderedPageBreak/>
        <w:t>adequate fuel to carry fire to the canopy. Floods may have been annual and were primarily depositional floods rather than scouring floods. Extreme floods may have occurred in association with hurricanes. Freezes would have had significant impacts on these largely tropical/subtropical species, though these impacts more directly affect riparian woodlands where tropical species are more common. Drought would also affect this system, and may provide the unusual opportunity for fire to carry in the system.</w:t>
      </w:r>
    </w:p>
    <w:p w:rsidR="0095177D" w:rsidP="0095177D" w:rsidRDefault="008B33F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77D" w:rsidP="0095177D" w:rsidRDefault="0095177D">
      <w:pPr>
        <w:pStyle w:val="InfoPara"/>
      </w:pPr>
      <w:r>
        <w:t>Scale Description</w:t>
      </w:r>
    </w:p>
    <w:p w:rsidR="0095177D" w:rsidP="0095177D" w:rsidRDefault="0095177D">
      <w:r>
        <w:t>Linear covering much of the lower Rio Grande occupying large patches on the delta.</w:t>
      </w:r>
    </w:p>
    <w:p w:rsidR="0095177D" w:rsidP="0095177D" w:rsidRDefault="0095177D">
      <w:pPr>
        <w:pStyle w:val="InfoPara"/>
      </w:pPr>
      <w:r>
        <w:t>Adjacency or Identification Concerns</w:t>
      </w:r>
    </w:p>
    <w:p w:rsidR="0095177D" w:rsidP="0095177D" w:rsidRDefault="0095177D">
      <w:r>
        <w:t xml:space="preserve">Adjacent to </w:t>
      </w:r>
      <w:proofErr w:type="spellStart"/>
      <w:r>
        <w:t>Tamaulipan</w:t>
      </w:r>
      <w:proofErr w:type="spellEnd"/>
      <w:r>
        <w:t xml:space="preserve"> Riparian systems.</w:t>
      </w:r>
    </w:p>
    <w:p w:rsidR="0095177D" w:rsidP="0095177D" w:rsidRDefault="0095177D">
      <w:pPr>
        <w:pStyle w:val="InfoPara"/>
      </w:pPr>
      <w:r>
        <w:t>Issues or Problems</w:t>
      </w:r>
    </w:p>
    <w:p w:rsidR="0095177D" w:rsidP="0095177D" w:rsidRDefault="0095177D">
      <w:r>
        <w:t>Long term succession would occur due to deposition and development of this BpS into more upland characteristics of another BpS. Dominance of the ground layer by non-native Guinea grass and buffelgrass.</w:t>
      </w:r>
    </w:p>
    <w:p w:rsidR="0095177D" w:rsidP="0095177D" w:rsidRDefault="0095177D">
      <w:pPr>
        <w:pStyle w:val="InfoPara"/>
      </w:pPr>
      <w:r>
        <w:t>Native Uncharacteristic Conditions</w:t>
      </w:r>
    </w:p>
    <w:p w:rsidR="0095177D" w:rsidP="0095177D" w:rsidRDefault="0095177D"/>
    <w:p w:rsidR="0095177D" w:rsidP="0095177D" w:rsidRDefault="0095177D">
      <w:pPr>
        <w:pStyle w:val="InfoPara"/>
      </w:pPr>
      <w:r>
        <w:t>Comments</w:t>
      </w:r>
    </w:p>
    <w:p w:rsidR="008B666B" w:rsidP="008B666B" w:rsidRDefault="008B666B"/>
    <w:p w:rsidR="0095177D" w:rsidP="0095177D" w:rsidRDefault="0095177D">
      <w:pPr>
        <w:pStyle w:val="ReportSection"/>
      </w:pPr>
      <w:r>
        <w:t>Succession Classes</w:t>
      </w:r>
    </w:p>
    <w:p w:rsidR="005A7B55" w:rsidP="0095177D" w:rsidRDefault="005A7B55">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77D" w:rsidP="0095177D" w:rsidRDefault="0095177D">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95177D" w:rsidP="0095177D" w:rsidRDefault="0095177D"/>
    <w:p w:rsidR="0095177D" w:rsidP="0095177D" w:rsidRDefault="0095177D">
      <w:pPr>
        <w:pStyle w:val="SClassInfoPara"/>
      </w:pPr>
      <w:r>
        <w:t>Indicator Species</w:t>
      </w:r>
    </w:p>
    <w:p w:rsidR="0095177D" w:rsidP="0095177D" w:rsidRDefault="0095177D"/>
    <w:p w:rsidR="0095177D" w:rsidP="0095177D" w:rsidRDefault="0095177D">
      <w:pPr>
        <w:pStyle w:val="SClassInfoPara"/>
      </w:pPr>
      <w:r>
        <w:t>Description</w:t>
      </w:r>
    </w:p>
    <w:p w:rsidR="0095177D" w:rsidP="0095177D" w:rsidRDefault="0095177D">
      <w:r>
        <w:t>He</w:t>
      </w:r>
      <w:r w:rsidR="008B666B">
        <w:t xml:space="preserve">rbaceous cover following a </w:t>
      </w:r>
      <w:r>
        <w:t xml:space="preserve">scouring flood and replacement fire in class B. Herbaceous cover develops as sedimentation produces an adequate substrate not continually flooded to allow development of cover. Drummond’s clematis (Clematis </w:t>
      </w:r>
      <w:proofErr w:type="spellStart"/>
      <w:r>
        <w:t>drummondii</w:t>
      </w:r>
      <w:proofErr w:type="spellEnd"/>
      <w:r>
        <w:t xml:space="preserve">), </w:t>
      </w:r>
      <w:proofErr w:type="spellStart"/>
      <w:r>
        <w:t>diamondleaf</w:t>
      </w:r>
      <w:proofErr w:type="spellEnd"/>
      <w:r>
        <w:t xml:space="preserve"> </w:t>
      </w:r>
      <w:proofErr w:type="spellStart"/>
      <w:r>
        <w:t>fogfruit</w:t>
      </w:r>
      <w:proofErr w:type="spellEnd"/>
      <w:r>
        <w:t xml:space="preserve"> (Phyla </w:t>
      </w:r>
      <w:proofErr w:type="spellStart"/>
      <w:r>
        <w:t>strigulosa</w:t>
      </w:r>
      <w:proofErr w:type="spellEnd"/>
      <w:r>
        <w:t xml:space="preserve">), Pennsylvania smartweed (Polygonum </w:t>
      </w:r>
      <w:proofErr w:type="spellStart"/>
      <w:r>
        <w:t>pensylvanicum</w:t>
      </w:r>
      <w:proofErr w:type="spellEnd"/>
      <w:r>
        <w:t xml:space="preserve">), </w:t>
      </w:r>
      <w:proofErr w:type="spellStart"/>
      <w:r>
        <w:t>rougeplant</w:t>
      </w:r>
      <w:proofErr w:type="spellEnd"/>
      <w:r>
        <w:t xml:space="preserve"> (</w:t>
      </w:r>
      <w:proofErr w:type="spellStart"/>
      <w:r>
        <w:t>Rivina</w:t>
      </w:r>
      <w:proofErr w:type="spellEnd"/>
      <w:r>
        <w:t xml:space="preserve"> humilis), jointed </w:t>
      </w:r>
      <w:proofErr w:type="spellStart"/>
      <w:r>
        <w:t>flatsedge</w:t>
      </w:r>
      <w:proofErr w:type="spellEnd"/>
      <w:r>
        <w:t xml:space="preserve"> (</w:t>
      </w:r>
      <w:proofErr w:type="spellStart"/>
      <w:r>
        <w:t>Cyperus</w:t>
      </w:r>
      <w:proofErr w:type="spellEnd"/>
      <w:r>
        <w:t xml:space="preserve"> </w:t>
      </w:r>
      <w:proofErr w:type="spellStart"/>
      <w:r>
        <w:t>articulatus</w:t>
      </w:r>
      <w:proofErr w:type="spellEnd"/>
      <w:r>
        <w:t>), gulf cockspur grass (</w:t>
      </w:r>
      <w:proofErr w:type="spellStart"/>
      <w:r>
        <w:t>Echinochloa</w:t>
      </w:r>
      <w:proofErr w:type="spellEnd"/>
      <w:r>
        <w:t xml:space="preserve"> crus-</w:t>
      </w:r>
      <w:proofErr w:type="spellStart"/>
      <w:r>
        <w:t>pavonis</w:t>
      </w:r>
      <w:proofErr w:type="spellEnd"/>
      <w:r>
        <w:t xml:space="preserve">), </w:t>
      </w:r>
      <w:proofErr w:type="spellStart"/>
      <w:r>
        <w:t>spikerush</w:t>
      </w:r>
      <w:proofErr w:type="spellEnd"/>
      <w:r>
        <w:t xml:space="preserve"> (</w:t>
      </w:r>
      <w:proofErr w:type="spellStart"/>
      <w:r>
        <w:t>Eleocharis</w:t>
      </w:r>
      <w:proofErr w:type="spellEnd"/>
      <w:r>
        <w:t xml:space="preserve"> spp.), sturdy bulrush (</w:t>
      </w:r>
      <w:proofErr w:type="spellStart"/>
      <w:r>
        <w:t>Schoenoplectus</w:t>
      </w:r>
      <w:proofErr w:type="spellEnd"/>
      <w:r>
        <w:t xml:space="preserve"> robustus), Gregg’s </w:t>
      </w:r>
      <w:proofErr w:type="spellStart"/>
      <w:r>
        <w:t>tubetongue</w:t>
      </w:r>
      <w:proofErr w:type="spellEnd"/>
      <w:r>
        <w:t xml:space="preserve"> (</w:t>
      </w:r>
      <w:proofErr w:type="spellStart"/>
      <w:r>
        <w:t>Siphonoglossa</w:t>
      </w:r>
      <w:proofErr w:type="spellEnd"/>
      <w:r>
        <w:t xml:space="preserve"> </w:t>
      </w:r>
      <w:proofErr w:type="spellStart"/>
      <w:r>
        <w:t>pilosella</w:t>
      </w:r>
      <w:proofErr w:type="spellEnd"/>
      <w:r>
        <w:t xml:space="preserve">), </w:t>
      </w:r>
      <w:proofErr w:type="spellStart"/>
      <w:r>
        <w:t>amamastla</w:t>
      </w:r>
      <w:proofErr w:type="spellEnd"/>
      <w:r>
        <w:t xml:space="preserve"> (</w:t>
      </w:r>
      <w:proofErr w:type="spellStart"/>
      <w:r>
        <w:t>Rumex</w:t>
      </w:r>
      <w:proofErr w:type="spellEnd"/>
      <w:r>
        <w:t xml:space="preserve"> </w:t>
      </w:r>
      <w:proofErr w:type="spellStart"/>
      <w:r>
        <w:t>chrysocarpus</w:t>
      </w:r>
      <w:proofErr w:type="spellEnd"/>
      <w:r>
        <w:t xml:space="preserve">) and green </w:t>
      </w:r>
      <w:proofErr w:type="spellStart"/>
      <w:r>
        <w:t>flatsedge</w:t>
      </w:r>
      <w:proofErr w:type="spellEnd"/>
      <w:r>
        <w:t xml:space="preserve"> (</w:t>
      </w:r>
      <w:proofErr w:type="spellStart"/>
      <w:r>
        <w:t>Cyperus</w:t>
      </w:r>
      <w:proofErr w:type="spellEnd"/>
      <w:r>
        <w:t xml:space="preserve"> </w:t>
      </w:r>
      <w:proofErr w:type="spellStart"/>
      <w:r>
        <w:t>virens</w:t>
      </w:r>
      <w:proofErr w:type="spellEnd"/>
      <w:r>
        <w:t>) are common. Areas of Phragmites spp. may occur in areas where fi</w:t>
      </w:r>
      <w:r w:rsidR="008B666B">
        <w:t>res would have occurred.</w:t>
      </w:r>
    </w:p>
    <w:p w:rsidR="008B666B" w:rsidP="0095177D" w:rsidRDefault="008B666B"/>
    <w:p>
      <w:r>
        <w:rPr>
          <w:i/>
          <w:u w:val="single"/>
        </w:rPr>
        <w:t>Maximum Tree Size Class</w:t>
      </w:r>
      <w:br/>
      <w:r>
        <w:t>None</w:t>
      </w:r>
    </w:p>
    <w:p w:rsidR="0095177D" w:rsidP="0095177D" w:rsidRDefault="0095177D">
      <w:pPr>
        <w:pStyle w:val="InfoPara"/>
        <w:pBdr>
          <w:top w:val="single" w:color="auto" w:sz="4" w:space="1"/>
        </w:pBdr>
      </w:pPr>
      <w:r>
        <w:t>Class B</w:t>
      </w:r>
      <w:r>
        <w:tab/>
        <w:t>13</w:t>
      </w:r>
      <w:r w:rsidR="002A3B10">
        <w:tab/>
      </w:r>
      <w:r w:rsidR="002A3B10">
        <w:tab/>
      </w:r>
      <w:r w:rsidR="002A3B10">
        <w:tab/>
      </w:r>
      <w:r w:rsidR="002A3B10">
        <w:tab/>
      </w:r>
      <w:r w:rsidR="004F7795">
        <w:t>Mid Development 1 - Open</w:t>
      </w:r>
    </w:p>
    <w:bookmarkEnd w:id="6"/>
    <w:bookmarkEnd w:id="7"/>
    <w:p w:rsidR="008B33F7" w:rsidP="0095177D" w:rsidRDefault="008B33F7">
      <w:pPr>
        <w:pStyle w:val="SClassInfoPara"/>
      </w:pPr>
    </w:p>
    <w:p w:rsidR="0095177D" w:rsidP="0095177D" w:rsidRDefault="0095177D">
      <w:pPr>
        <w:pStyle w:val="SClassInfoPara"/>
      </w:pPr>
      <w:r>
        <w:t>Indicator Species</w:t>
      </w:r>
    </w:p>
    <w:p w:rsidR="0095177D" w:rsidP="0095177D" w:rsidRDefault="0095177D"/>
    <w:p w:rsidR="0095177D" w:rsidP="0095177D" w:rsidRDefault="0095177D">
      <w:pPr>
        <w:pStyle w:val="SClassInfoPara"/>
      </w:pPr>
      <w:r>
        <w:t>Description</w:t>
      </w:r>
    </w:p>
    <w:p w:rsidR="0095177D" w:rsidP="0095177D" w:rsidRDefault="0095177D">
      <w:r>
        <w:t>Low canopy cover of trees. Shrub layer well developed. Scouring floods associated with river channel migrat</w:t>
      </w:r>
      <w:r w:rsidR="00EB3972">
        <w:t xml:space="preserve">ion on the delta is modeled. </w:t>
      </w:r>
      <w:r>
        <w:t>Jerusalem thorn, black mimosa, sweet acacia (</w:t>
      </w:r>
      <w:r w:rsidRPr="00F85B72">
        <w:rPr>
          <w:i/>
        </w:rPr>
        <w:t xml:space="preserve">Acacia </w:t>
      </w:r>
      <w:proofErr w:type="spellStart"/>
      <w:r w:rsidRPr="00F85B72">
        <w:rPr>
          <w:i/>
        </w:rPr>
        <w:t>farnesiana</w:t>
      </w:r>
      <w:proofErr w:type="spellEnd"/>
      <w:r>
        <w:t xml:space="preserve">), black willow, spiny hackberry, and bushy </w:t>
      </w:r>
      <w:proofErr w:type="spellStart"/>
      <w:r>
        <w:t>lippia</w:t>
      </w:r>
      <w:proofErr w:type="spellEnd"/>
      <w:r>
        <w:t xml:space="preserve"> are common components of the shrub layer. Sugarberry is developing as a canopy but still occurs with low cover.</w:t>
      </w:r>
    </w:p>
    <w:p w:rsidR="0095177D" w:rsidP="0095177D" w:rsidRDefault="0095177D"/>
    <w:p>
      <w:r>
        <w:rPr>
          <w:i/>
          <w:u w:val="single"/>
        </w:rPr>
        <w:t>Maximum Tree Size Class</w:t>
      </w:r>
      <w:br/>
      <w:r>
        <w:t>Pole 5-9" DBH</w:t>
      </w:r>
    </w:p>
    <w:p w:rsidR="0095177D" w:rsidP="0095177D" w:rsidRDefault="0095177D">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bookmarkEnd w:id="8"/>
    <w:bookmarkEnd w:id="9"/>
    <w:p w:rsidR="008B33F7" w:rsidP="0095177D" w:rsidRDefault="008B33F7">
      <w:pPr>
        <w:pStyle w:val="SClassInfoPara"/>
      </w:pPr>
    </w:p>
    <w:p w:rsidR="0095177D" w:rsidP="0095177D" w:rsidRDefault="0095177D">
      <w:pPr>
        <w:pStyle w:val="SClassInfoPara"/>
      </w:pPr>
      <w:r>
        <w:t>Indicator Species</w:t>
      </w:r>
    </w:p>
    <w:p w:rsidR="0095177D" w:rsidP="0095177D" w:rsidRDefault="0095177D"/>
    <w:p w:rsidR="0095177D" w:rsidP="0095177D" w:rsidRDefault="0095177D">
      <w:pPr>
        <w:pStyle w:val="SClassInfoPara"/>
      </w:pPr>
      <w:r>
        <w:t>Description</w:t>
      </w:r>
    </w:p>
    <w:p w:rsidR="0095177D" w:rsidP="0095177D" w:rsidRDefault="0095177D">
      <w:r>
        <w:lastRenderedPageBreak/>
        <w:t xml:space="preserve">Dominated by sugarberry, with cedar elm, spiny hackberry, black mimosa, bushy </w:t>
      </w:r>
      <w:proofErr w:type="spellStart"/>
      <w:r>
        <w:t>lippia</w:t>
      </w:r>
      <w:proofErr w:type="spellEnd"/>
      <w:r>
        <w:t xml:space="preserve">, and Brazilian </w:t>
      </w:r>
      <w:proofErr w:type="spellStart"/>
      <w:r>
        <w:t>bluewood</w:t>
      </w:r>
      <w:proofErr w:type="spellEnd"/>
      <w:r>
        <w:t xml:space="preserve"> (</w:t>
      </w:r>
      <w:proofErr w:type="spellStart"/>
      <w:r w:rsidRPr="00F85B72">
        <w:rPr>
          <w:i/>
        </w:rPr>
        <w:t>Condalia</w:t>
      </w:r>
      <w:proofErr w:type="spellEnd"/>
      <w:r w:rsidRPr="00F85B72">
        <w:rPr>
          <w:i/>
        </w:rPr>
        <w:t xml:space="preserve"> </w:t>
      </w:r>
      <w:proofErr w:type="spellStart"/>
      <w:r w:rsidRPr="00F85B72">
        <w:rPr>
          <w:i/>
        </w:rPr>
        <w:t>hookeri</w:t>
      </w:r>
      <w:proofErr w:type="spellEnd"/>
      <w:r>
        <w:t xml:space="preserve">) in the </w:t>
      </w:r>
      <w:proofErr w:type="spellStart"/>
      <w:r>
        <w:t>midstory</w:t>
      </w:r>
      <w:proofErr w:type="spellEnd"/>
      <w:r>
        <w:t xml:space="preserve">, and </w:t>
      </w:r>
      <w:proofErr w:type="spellStart"/>
      <w:r>
        <w:t>rougeflower</w:t>
      </w:r>
      <w:proofErr w:type="spellEnd"/>
      <w:r>
        <w:t xml:space="preserve"> and bushy </w:t>
      </w:r>
      <w:proofErr w:type="spellStart"/>
      <w:r>
        <w:t>lippia</w:t>
      </w:r>
      <w:proofErr w:type="spellEnd"/>
      <w:r>
        <w:t xml:space="preserve"> in the understory. </w:t>
      </w:r>
    </w:p>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177D" w:rsidP="0095177D" w:rsidRDefault="0095177D">
      <w:r>
        <w:t>NatureServe. 2007. International Ecological Classification Standard: Terrestrial Ecological Classifications. NatureServe Central Databases. Arlington, VA, U.S.A. Data current as of 10 February 2007.</w:t>
      </w:r>
    </w:p>
    <w:p w:rsidRPr="00A43E41" w:rsidR="004D5F12" w:rsidP="0095177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982" w:rsidRDefault="00C97982">
      <w:r>
        <w:separator/>
      </w:r>
    </w:p>
  </w:endnote>
  <w:endnote w:type="continuationSeparator" w:id="0">
    <w:p w:rsidR="00C97982" w:rsidRDefault="00C9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77D" w:rsidRDefault="0095177D" w:rsidP="009517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982" w:rsidRDefault="00C97982">
      <w:r>
        <w:separator/>
      </w:r>
    </w:p>
  </w:footnote>
  <w:footnote w:type="continuationSeparator" w:id="0">
    <w:p w:rsidR="00C97982" w:rsidRDefault="00C9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517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666B"/>
    <w:pPr>
      <w:ind w:left="720"/>
    </w:pPr>
    <w:rPr>
      <w:rFonts w:ascii="Calibri" w:eastAsia="Calibri" w:hAnsi="Calibri"/>
      <w:sz w:val="22"/>
      <w:szCs w:val="22"/>
    </w:rPr>
  </w:style>
  <w:style w:type="character" w:styleId="Hyperlink">
    <w:name w:val="Hyperlink"/>
    <w:rsid w:val="008B666B"/>
    <w:rPr>
      <w:color w:val="0000FF"/>
      <w:u w:val="single"/>
    </w:rPr>
  </w:style>
  <w:style w:type="paragraph" w:customStyle="1" w:styleId="paragraph">
    <w:name w:val="paragraph"/>
    <w:basedOn w:val="Normal"/>
    <w:rsid w:val="008B33F7"/>
  </w:style>
  <w:style w:type="character" w:customStyle="1" w:styleId="normaltextrun1">
    <w:name w:val="normaltextrun1"/>
    <w:basedOn w:val="DefaultParagraphFont"/>
    <w:rsid w:val="008B33F7"/>
  </w:style>
  <w:style w:type="character" w:customStyle="1" w:styleId="eop">
    <w:name w:val="eop"/>
    <w:basedOn w:val="DefaultParagraphFont"/>
    <w:rsid w:val="008B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27689">
      <w:bodyDiv w:val="1"/>
      <w:marLeft w:val="0"/>
      <w:marRight w:val="0"/>
      <w:marTop w:val="0"/>
      <w:marBottom w:val="0"/>
      <w:divBdr>
        <w:top w:val="none" w:sz="0" w:space="0" w:color="auto"/>
        <w:left w:val="none" w:sz="0" w:space="0" w:color="auto"/>
        <w:bottom w:val="none" w:sz="0" w:space="0" w:color="auto"/>
        <w:right w:val="none" w:sz="0" w:space="0" w:color="auto"/>
      </w:divBdr>
    </w:div>
    <w:div w:id="14794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2014-08-21T14:49:00Z</cp:lastPrinted>
  <dcterms:created xsi:type="dcterms:W3CDTF">2018-02-27T20:37:00Z</dcterms:created>
  <dcterms:modified xsi:type="dcterms:W3CDTF">2025-02-12T09:41:59Z</dcterms:modified>
</cp:coreProperties>
</file>