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D3" w:rsidP="007936D3" w:rsidRDefault="007936D3" w14:paraId="0FDC1281" w14:textId="324800EE">
      <w:pPr>
        <w:pStyle w:val="BpSTitle"/>
      </w:pPr>
      <w:r>
        <w:t>14952</w:t>
      </w:r>
    </w:p>
    <w:p w:rsidR="007936D3" w:rsidP="007936D3" w:rsidRDefault="007936D3" w14:paraId="08BE859B" w14:textId="77777777">
      <w:pPr>
        <w:pStyle w:val="BpSTitle"/>
      </w:pPr>
      <w:r>
        <w:t xml:space="preserve">Western Great Plains </w:t>
      </w:r>
      <w:proofErr w:type="spellStart"/>
      <w:r>
        <w:t>Depressional</w:t>
      </w:r>
      <w:proofErr w:type="spellEnd"/>
      <w:r>
        <w:t xml:space="preserve"> Wetland Systems - Saline</w:t>
      </w:r>
    </w:p>
    <w:p w:rsidR="007936D3" w:rsidP="007936D3" w:rsidRDefault="007936D3" w14:paraId="10183B44" w14:textId="77777777">
      <w:r>
        <w:t>BpS Model/Description Version: Aug. 2020</w:t>
      </w:r>
      <w:r>
        <w:tab/>
      </w:r>
      <w:r>
        <w:tab/>
      </w:r>
      <w:r>
        <w:tab/>
      </w:r>
      <w:r>
        <w:tab/>
      </w:r>
      <w:r>
        <w:tab/>
      </w:r>
      <w:r>
        <w:tab/>
      </w:r>
      <w:r>
        <w:tab/>
      </w:r>
    </w:p>
    <w:p w:rsidR="007936D3" w:rsidP="007936D3" w:rsidRDefault="007936D3" w14:paraId="6541CCD4" w14:textId="77777777"/>
    <w:p w:rsidR="007936D3" w:rsidP="007936D3" w:rsidRDefault="007936D3" w14:paraId="46D54628" w14:textId="77777777"/>
    <w:p w:rsidR="00894ACD" w:rsidP="007936D3" w:rsidRDefault="00CF7CEF" w14:paraId="7EF1385B" w14:textId="472CC4F1">
      <w:r w:rsidRPr="00AC6428">
        <w:rPr>
          <w:b/>
        </w:rPr>
        <w:t>Reviewer</w:t>
      </w:r>
      <w:r>
        <w:t xml:space="preserve">: </w:t>
      </w:r>
      <w:r w:rsidR="00894ACD">
        <w:t xml:space="preserve">Derrick </w:t>
      </w:r>
      <w:proofErr w:type="spellStart"/>
      <w:r w:rsidR="00894ACD">
        <w:t>Holdstock</w:t>
      </w:r>
      <w:proofErr w:type="spellEnd"/>
      <w:r w:rsidR="00894ACD">
        <w:t xml:space="preserve">; </w:t>
      </w:r>
      <w:hyperlink w:history="1" r:id="rId7">
        <w:r w:rsidRPr="00AD4A6F" w:rsidR="00894ACD">
          <w:rPr>
            <w:rStyle w:val="Hyperlink"/>
          </w:rPr>
          <w:t>derrick.holdstock@tpwd.texas.gov</w:t>
        </w:r>
      </w:hyperlink>
      <w:r w:rsidR="00894ACD">
        <w:t xml:space="preserve"> </w:t>
      </w:r>
    </w:p>
    <w:p w:rsidR="007936D3" w:rsidP="007936D3" w:rsidRDefault="007936D3" w14:paraId="070BF45F" w14:textId="77777777">
      <w:pPr>
        <w:pStyle w:val="InfoPara"/>
      </w:pPr>
      <w:r>
        <w:t>Vegetation Type</w:t>
      </w:r>
    </w:p>
    <w:p w:rsidR="007936D3" w:rsidP="007936D3" w:rsidRDefault="004F3BA4" w14:paraId="70AA96FB" w14:textId="2CDC9BDB">
      <w:r w:rsidRPr="004F3BA4">
        <w:t>Herbaceous Wetland</w:t>
      </w:r>
      <w:bookmarkStart w:name="_GoBack" w:id="0"/>
      <w:bookmarkEnd w:id="0"/>
    </w:p>
    <w:p w:rsidR="007936D3" w:rsidP="007936D3" w:rsidRDefault="007936D3" w14:paraId="5B6F1D68" w14:textId="72E43180">
      <w:pPr>
        <w:pStyle w:val="InfoPara"/>
      </w:pPr>
      <w:r>
        <w:t>Map Zone</w:t>
      </w:r>
    </w:p>
    <w:p w:rsidR="007936D3" w:rsidP="007936D3" w:rsidRDefault="007936D3" w14:paraId="50C8134B" w14:textId="77777777">
      <w:r>
        <w:t>34</w:t>
      </w:r>
    </w:p>
    <w:p w:rsidR="007936D3" w:rsidP="007936D3" w:rsidRDefault="007936D3" w14:paraId="26990F65" w14:textId="77777777">
      <w:pPr>
        <w:pStyle w:val="InfoPara"/>
      </w:pPr>
      <w:r>
        <w:t>Model Splits or Lumps</w:t>
      </w:r>
    </w:p>
    <w:p w:rsidR="007936D3" w:rsidP="007936D3" w:rsidRDefault="007936D3" w14:paraId="197DD6E5" w14:textId="2A6B9231">
      <w:r>
        <w:t xml:space="preserve">This </w:t>
      </w:r>
      <w:r w:rsidR="00F00C56">
        <w:t>Biophysical Setting (</w:t>
      </w:r>
      <w:proofErr w:type="spellStart"/>
      <w:r>
        <w:t>BpS</w:t>
      </w:r>
      <w:proofErr w:type="spellEnd"/>
      <w:r w:rsidR="00F00C56">
        <w:t>)</w:t>
      </w:r>
      <w:r>
        <w:t xml:space="preserve"> is split into multiple model</w:t>
      </w:r>
      <w:r w:rsidR="00F00C56">
        <w:t xml:space="preserve">s. </w:t>
      </w:r>
      <w:r>
        <w:t xml:space="preserve">Western Great Plain Depression Wetland </w:t>
      </w:r>
      <w:proofErr w:type="spellStart"/>
      <w:r>
        <w:t>BpS</w:t>
      </w:r>
      <w:proofErr w:type="spellEnd"/>
      <w:r>
        <w:t xml:space="preserve"> was split into two type</w:t>
      </w:r>
      <w:r w:rsidR="00F00C56">
        <w:t>s:</w:t>
      </w:r>
      <w:r>
        <w:t xml:space="preserve"> 14951 is a play</w:t>
      </w:r>
      <w:r w:rsidR="00E64DBA">
        <w:t>a</w:t>
      </w:r>
      <w:r>
        <w:t xml:space="preserve"> whereas 14952 is a saline wetland. A saline soil layer, if available, could be used to distinguish 14952 from the similar</w:t>
      </w:r>
      <w:r w:rsidR="00F00C56">
        <w:t>-</w:t>
      </w:r>
      <w:r>
        <w:t xml:space="preserve">appearing Closed </w:t>
      </w:r>
      <w:proofErr w:type="spellStart"/>
      <w:r>
        <w:t>Depressional</w:t>
      </w:r>
      <w:proofErr w:type="spellEnd"/>
      <w:r>
        <w:t xml:space="preserve"> Wetlands.</w:t>
      </w:r>
    </w:p>
    <w:p w:rsidR="007936D3" w:rsidP="007936D3" w:rsidRDefault="007936D3" w14:paraId="0BA9C0DF" w14:textId="77777777">
      <w:pPr>
        <w:pStyle w:val="InfoPara"/>
      </w:pPr>
      <w:r>
        <w:t>Geographic Range</w:t>
      </w:r>
    </w:p>
    <w:p w:rsidR="007936D3" w:rsidP="007936D3" w:rsidRDefault="007936D3" w14:paraId="0A58EEE6" w14:textId="247194FC">
      <w:r>
        <w:t xml:space="preserve">This system found throughout the Llano Estacado in the western part of </w:t>
      </w:r>
      <w:r w:rsidR="00F00C56">
        <w:t>map zone (</w:t>
      </w:r>
      <w:r>
        <w:t>MZ</w:t>
      </w:r>
      <w:r w:rsidR="00F00C56">
        <w:t xml:space="preserve">) </w:t>
      </w:r>
      <w:r>
        <w:t>34 in ECOMAP subsections 315B and possibly 331Bb</w:t>
      </w:r>
      <w:r w:rsidR="004C3F95">
        <w:t xml:space="preserve"> (Cleland et al. 2007)</w:t>
      </w:r>
      <w:r>
        <w:t>. May occur as a peripheral system in MZ26 and occurs in MZ27.</w:t>
      </w:r>
    </w:p>
    <w:p w:rsidR="007936D3" w:rsidP="007936D3" w:rsidRDefault="007936D3" w14:paraId="10D1B6C3" w14:textId="77777777">
      <w:pPr>
        <w:pStyle w:val="InfoPara"/>
      </w:pPr>
      <w:r>
        <w:t>Biophysical Site Description</w:t>
      </w:r>
    </w:p>
    <w:p w:rsidR="007936D3" w:rsidP="007936D3" w:rsidRDefault="007936D3" w14:paraId="585D1C13" w14:textId="77777777">
      <w:r>
        <w:t xml:space="preserve">This </w:t>
      </w:r>
      <w:proofErr w:type="spellStart"/>
      <w:r>
        <w:t>BpS</w:t>
      </w:r>
      <w:proofErr w:type="spellEnd"/>
      <w:r>
        <w:t xml:space="preserve"> is found on the margin of saline lakes in the western Great Plains. These sites are often </w:t>
      </w:r>
      <w:proofErr w:type="spellStart"/>
      <w:r>
        <w:t>subirrigated</w:t>
      </w:r>
      <w:proofErr w:type="spellEnd"/>
      <w:r>
        <w:t xml:space="preserve"> and associated with springs. Often occur as a complex of multiple lakes associated with a spring. Strongly saline soils cause both the shallow lakes and depressions and the surrounding areas to be more brackish. Salt encrustations can occur on the surface in some examples of this system, and the soils are severely affected and have poor structure.</w:t>
      </w:r>
    </w:p>
    <w:p w:rsidR="007936D3" w:rsidP="007936D3" w:rsidRDefault="007936D3" w14:paraId="070AD874" w14:textId="77777777">
      <w:pPr>
        <w:pStyle w:val="InfoPara"/>
      </w:pPr>
      <w:r>
        <w:t>Vegetation Description</w:t>
      </w:r>
    </w:p>
    <w:p w:rsidR="007936D3" w:rsidP="007936D3" w:rsidRDefault="007936D3" w14:paraId="461E7B8F" w14:textId="11B02A97">
      <w:r>
        <w:t>This system typically dominated by alkali sacaton (</w:t>
      </w:r>
      <w:proofErr w:type="spellStart"/>
      <w:r w:rsidRPr="00AC6428">
        <w:rPr>
          <w:i/>
        </w:rPr>
        <w:t>Sporobolus</w:t>
      </w:r>
      <w:proofErr w:type="spellEnd"/>
      <w:r w:rsidRPr="00AC6428">
        <w:rPr>
          <w:i/>
        </w:rPr>
        <w:t xml:space="preserve"> </w:t>
      </w:r>
      <w:proofErr w:type="spellStart"/>
      <w:r w:rsidRPr="00AC6428">
        <w:rPr>
          <w:i/>
        </w:rPr>
        <w:t>airoides</w:t>
      </w:r>
      <w:proofErr w:type="spellEnd"/>
      <w:r>
        <w:t xml:space="preserve">) and </w:t>
      </w:r>
      <w:proofErr w:type="spellStart"/>
      <w:r>
        <w:t>saltgrass</w:t>
      </w:r>
      <w:proofErr w:type="spellEnd"/>
      <w:r>
        <w:t xml:space="preserve"> (</w:t>
      </w:r>
      <w:proofErr w:type="spellStart"/>
      <w:r w:rsidRPr="00AC6428">
        <w:rPr>
          <w:i/>
        </w:rPr>
        <w:t>Distichlis</w:t>
      </w:r>
      <w:proofErr w:type="spellEnd"/>
      <w:r w:rsidRPr="00AC6428">
        <w:rPr>
          <w:i/>
        </w:rPr>
        <w:t xml:space="preserve"> </w:t>
      </w:r>
      <w:proofErr w:type="spellStart"/>
      <w:r w:rsidRPr="00AC6428">
        <w:rPr>
          <w:i/>
        </w:rPr>
        <w:t>spicata</w:t>
      </w:r>
      <w:proofErr w:type="spellEnd"/>
      <w:r>
        <w:t xml:space="preserve">). Within this system, on wetter sites, areas dominated by </w:t>
      </w:r>
      <w:proofErr w:type="spellStart"/>
      <w:r>
        <w:t>saltgrass</w:t>
      </w:r>
      <w:proofErr w:type="spellEnd"/>
      <w:r>
        <w:t xml:space="preserve"> (</w:t>
      </w:r>
      <w:proofErr w:type="spellStart"/>
      <w:r w:rsidRPr="00AC6428">
        <w:rPr>
          <w:i/>
        </w:rPr>
        <w:t>Distichlis</w:t>
      </w:r>
      <w:proofErr w:type="spellEnd"/>
      <w:r w:rsidRPr="00AC6428">
        <w:rPr>
          <w:i/>
        </w:rPr>
        <w:t xml:space="preserve"> </w:t>
      </w:r>
      <w:proofErr w:type="spellStart"/>
      <w:r w:rsidRPr="00AC6428">
        <w:rPr>
          <w:i/>
        </w:rPr>
        <w:t>spicata</w:t>
      </w:r>
      <w:proofErr w:type="spellEnd"/>
      <w:r>
        <w:t>) may occur. Foxtail barley (</w:t>
      </w:r>
      <w:proofErr w:type="spellStart"/>
      <w:r w:rsidRPr="00AC6428">
        <w:rPr>
          <w:i/>
        </w:rPr>
        <w:t>Hordeum</w:t>
      </w:r>
      <w:proofErr w:type="spellEnd"/>
      <w:r w:rsidRPr="00AC6428">
        <w:rPr>
          <w:i/>
        </w:rPr>
        <w:t xml:space="preserve"> </w:t>
      </w:r>
      <w:proofErr w:type="spellStart"/>
      <w:r w:rsidRPr="00AC6428">
        <w:rPr>
          <w:i/>
        </w:rPr>
        <w:t>jubatum</w:t>
      </w:r>
      <w:proofErr w:type="spellEnd"/>
      <w:r>
        <w:t xml:space="preserve">) is also present. </w:t>
      </w:r>
      <w:proofErr w:type="spellStart"/>
      <w:r>
        <w:t>Threesquare</w:t>
      </w:r>
      <w:proofErr w:type="spellEnd"/>
      <w:r>
        <w:t xml:space="preserve"> (</w:t>
      </w:r>
      <w:proofErr w:type="spellStart"/>
      <w:r w:rsidRPr="00AC6428">
        <w:rPr>
          <w:i/>
        </w:rPr>
        <w:t>Schoenoplectus</w:t>
      </w:r>
      <w:proofErr w:type="spellEnd"/>
      <w:r w:rsidRPr="00AC6428">
        <w:rPr>
          <w:i/>
        </w:rPr>
        <w:t xml:space="preserve"> </w:t>
      </w:r>
      <w:proofErr w:type="spellStart"/>
      <w:r w:rsidRPr="00AC6428">
        <w:rPr>
          <w:i/>
        </w:rPr>
        <w:t>americana</w:t>
      </w:r>
      <w:proofErr w:type="spellEnd"/>
      <w:r>
        <w:t xml:space="preserve">) can occur in less alkaline situations. Generally, the shrub cover is </w:t>
      </w:r>
      <w:r w:rsidR="00F00C56">
        <w:t xml:space="preserve">&lt;5%. </w:t>
      </w:r>
      <w:r>
        <w:t>Shrub species present may include honey mesquite (</w:t>
      </w:r>
      <w:r w:rsidRPr="00AC6428">
        <w:rPr>
          <w:i/>
        </w:rPr>
        <w:t>P</w:t>
      </w:r>
      <w:r w:rsidRPr="00AC6428" w:rsidR="00432C64">
        <w:rPr>
          <w:i/>
        </w:rPr>
        <w:t>rosopis</w:t>
      </w:r>
      <w:r w:rsidRPr="00AC6428">
        <w:rPr>
          <w:i/>
        </w:rPr>
        <w:t xml:space="preserve"> </w:t>
      </w:r>
      <w:proofErr w:type="spellStart"/>
      <w:r w:rsidRPr="00AC6428">
        <w:rPr>
          <w:i/>
        </w:rPr>
        <w:t>glandulosa</w:t>
      </w:r>
      <w:proofErr w:type="spellEnd"/>
      <w:r>
        <w:t xml:space="preserve">) and </w:t>
      </w:r>
      <w:proofErr w:type="spellStart"/>
      <w:r>
        <w:t>fourwing</w:t>
      </w:r>
      <w:proofErr w:type="spellEnd"/>
      <w:r>
        <w:t xml:space="preserve"> saltbush (</w:t>
      </w:r>
      <w:proofErr w:type="spellStart"/>
      <w:r w:rsidRPr="00AC6428">
        <w:rPr>
          <w:i/>
        </w:rPr>
        <w:t>Atriplex</w:t>
      </w:r>
      <w:proofErr w:type="spellEnd"/>
      <w:r w:rsidRPr="00AC6428">
        <w:rPr>
          <w:i/>
        </w:rPr>
        <w:t xml:space="preserve"> </w:t>
      </w:r>
      <w:proofErr w:type="spellStart"/>
      <w:r w:rsidRPr="00AC6428">
        <w:rPr>
          <w:i/>
        </w:rPr>
        <w:t>canescens</w:t>
      </w:r>
      <w:proofErr w:type="spellEnd"/>
      <w:r>
        <w:t>). Highly alkaline sites may have sparse herbaceous cover.</w:t>
      </w:r>
    </w:p>
    <w:p w:rsidR="007936D3" w:rsidP="007936D3" w:rsidRDefault="007936D3" w14:paraId="1A76F73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936D3" w:rsidP="007936D3" w:rsidRDefault="007936D3" w14:paraId="6B5B8593" w14:textId="77777777">
      <w:pPr>
        <w:pStyle w:val="InfoPara"/>
      </w:pPr>
      <w:r>
        <w:t>Disturbance Description</w:t>
      </w:r>
    </w:p>
    <w:p w:rsidR="007936D3" w:rsidP="007936D3" w:rsidRDefault="007936D3" w14:paraId="312049EC" w14:textId="5A02C2C7">
      <w:r>
        <w:t xml:space="preserve">Periodically flooded, from localized rain events to permanently saturated soils. Bare patches can increase with drought, lack of fire (due to senescent grasses), and extreme saline conditions. Drought and lack of fire may enable potential shrub invasion </w:t>
      </w:r>
      <w:r w:rsidR="00E64DBA">
        <w:t xml:space="preserve">of </w:t>
      </w:r>
      <w:r>
        <w:t>honey mesquite (</w:t>
      </w:r>
      <w:r w:rsidRPr="00AC6428">
        <w:rPr>
          <w:i/>
        </w:rPr>
        <w:t xml:space="preserve">Prosopis </w:t>
      </w:r>
      <w:proofErr w:type="spellStart"/>
      <w:r w:rsidRPr="00AC6428">
        <w:rPr>
          <w:i/>
        </w:rPr>
        <w:t>glandulosa</w:t>
      </w:r>
      <w:proofErr w:type="spellEnd"/>
      <w:r>
        <w:t xml:space="preserve">) and </w:t>
      </w:r>
      <w:proofErr w:type="spellStart"/>
      <w:r>
        <w:t>fourwing</w:t>
      </w:r>
      <w:proofErr w:type="spellEnd"/>
      <w:r>
        <w:t xml:space="preserve"> saltbush (</w:t>
      </w:r>
      <w:proofErr w:type="spellStart"/>
      <w:r w:rsidRPr="00AC6428">
        <w:rPr>
          <w:i/>
        </w:rPr>
        <w:t>Atriplex</w:t>
      </w:r>
      <w:proofErr w:type="spellEnd"/>
      <w:r w:rsidRPr="00AC6428">
        <w:rPr>
          <w:i/>
        </w:rPr>
        <w:t xml:space="preserve"> </w:t>
      </w:r>
      <w:proofErr w:type="spellStart"/>
      <w:r w:rsidRPr="00AC6428">
        <w:rPr>
          <w:i/>
        </w:rPr>
        <w:t>canescens</w:t>
      </w:r>
      <w:proofErr w:type="spellEnd"/>
      <w:r>
        <w:t>).</w:t>
      </w:r>
    </w:p>
    <w:p w:rsidR="00993ECB" w:rsidP="007936D3" w:rsidRDefault="00993ECB" w14:paraId="023EC092" w14:textId="77777777"/>
    <w:p w:rsidR="007936D3" w:rsidP="007936D3" w:rsidRDefault="004C3F95" w14:paraId="3EC09D67" w14:textId="3C4D3ED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3ECB" w:rsidP="007936D3" w:rsidRDefault="00993ECB" w14:paraId="6D03DC46" w14:textId="77777777">
      <w:pPr>
        <w:pStyle w:val="InfoPara"/>
      </w:pPr>
    </w:p>
    <w:p w:rsidR="007936D3" w:rsidP="007936D3" w:rsidRDefault="007936D3" w14:paraId="7B9F35F2" w14:textId="3C6E42C2">
      <w:pPr>
        <w:pStyle w:val="InfoPara"/>
      </w:pPr>
      <w:r>
        <w:t>Scale Description</w:t>
      </w:r>
    </w:p>
    <w:p w:rsidR="007936D3" w:rsidP="007936D3" w:rsidRDefault="007936D3" w14:paraId="25E589B0" w14:textId="77777777">
      <w:r>
        <w:t>Occurrences of this system are somewhat larger than the playas but range from ~1ha to ~250ha.</w:t>
      </w:r>
    </w:p>
    <w:p w:rsidR="007936D3" w:rsidP="007936D3" w:rsidRDefault="007936D3" w14:paraId="4C9161B4" w14:textId="77777777">
      <w:pPr>
        <w:pStyle w:val="InfoPara"/>
      </w:pPr>
      <w:r>
        <w:t>Adjacency or Identification Concerns</w:t>
      </w:r>
    </w:p>
    <w:p w:rsidR="007936D3" w:rsidP="007936D3" w:rsidRDefault="007936D3" w14:paraId="005E1F72" w14:textId="6EE3ADD2">
      <w:r>
        <w:t xml:space="preserve">This system will be difficult to distinguish remotely from Western Great Plains Closed </w:t>
      </w:r>
      <w:proofErr w:type="spellStart"/>
      <w:r>
        <w:t>Depressional</w:t>
      </w:r>
      <w:proofErr w:type="spellEnd"/>
      <w:r>
        <w:t xml:space="preserve"> Wetlands. A GIS layer is available for portions of MZ26 and </w:t>
      </w:r>
      <w:r w:rsidR="00F00C56">
        <w:t>MZ</w:t>
      </w:r>
      <w:r>
        <w:t>27 (contact Lee Elliott, lelliott@tnc.org). Saline soil layer, if available, could be used to distinguish this system from similar</w:t>
      </w:r>
      <w:r w:rsidR="00F00C56">
        <w:t>-</w:t>
      </w:r>
      <w:r>
        <w:t xml:space="preserve">appearing Closed </w:t>
      </w:r>
      <w:proofErr w:type="spellStart"/>
      <w:r>
        <w:t>Depressional</w:t>
      </w:r>
      <w:proofErr w:type="spellEnd"/>
      <w:r>
        <w:t xml:space="preserve"> Wetlands.</w:t>
      </w:r>
    </w:p>
    <w:p w:rsidR="007936D3" w:rsidP="007936D3" w:rsidRDefault="007936D3" w14:paraId="35E8FEDA" w14:textId="77777777">
      <w:pPr>
        <w:pStyle w:val="InfoPara"/>
      </w:pPr>
      <w:r>
        <w:t>Issues or Problems</w:t>
      </w:r>
    </w:p>
    <w:p w:rsidR="007936D3" w:rsidP="007936D3" w:rsidRDefault="007936D3" w14:paraId="4685D201" w14:textId="4F419D16">
      <w:r>
        <w:t xml:space="preserve">Today, tamarisk infestation occurs in some situations. Reduced groundwater outflow may be detrimental to maintenance of </w:t>
      </w:r>
      <w:r w:rsidR="00F00C56">
        <w:t>t</w:t>
      </w:r>
      <w:r>
        <w:t>amarisk infestation</w:t>
      </w:r>
      <w:r w:rsidR="00E64DBA">
        <w:t>, which</w:t>
      </w:r>
      <w:r>
        <w:t xml:space="preserve"> occurs in some situations. Reduced groundwater outflow may be detrimental to the hydrologic regime necessary to maintain the system.</w:t>
      </w:r>
    </w:p>
    <w:p w:rsidR="007936D3" w:rsidP="007936D3" w:rsidRDefault="007936D3" w14:paraId="16D64C4E" w14:textId="77777777">
      <w:pPr>
        <w:pStyle w:val="InfoPara"/>
      </w:pPr>
      <w:r>
        <w:t>Native Uncharacteristic Conditions</w:t>
      </w:r>
    </w:p>
    <w:p w:rsidR="007936D3" w:rsidP="007936D3" w:rsidRDefault="007936D3" w14:paraId="3639FAF1" w14:textId="77777777"/>
    <w:p w:rsidR="007936D3" w:rsidP="007936D3" w:rsidRDefault="007936D3" w14:paraId="695CC8A3" w14:textId="77777777">
      <w:pPr>
        <w:pStyle w:val="InfoPara"/>
      </w:pPr>
      <w:r>
        <w:t>Comments</w:t>
      </w:r>
    </w:p>
    <w:p w:rsidR="007936D3" w:rsidP="007936D3" w:rsidRDefault="007936D3" w14:paraId="278A144C" w14:textId="77777777">
      <w:r>
        <w:t>None</w:t>
      </w:r>
    </w:p>
    <w:p w:rsidR="00D03213" w:rsidP="007936D3" w:rsidRDefault="00D03213" w14:paraId="77395D7B" w14:textId="77777777"/>
    <w:p w:rsidR="007936D3" w:rsidP="007936D3" w:rsidRDefault="007936D3" w14:paraId="4E766AE4" w14:textId="77777777">
      <w:pPr>
        <w:pStyle w:val="ReportSection"/>
      </w:pPr>
      <w:r>
        <w:t>Succession Classes</w:t>
      </w:r>
    </w:p>
    <w:p w:rsidR="007936D3" w:rsidP="007936D3" w:rsidRDefault="007936D3" w14:paraId="2FEF97E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6D3" w:rsidP="007936D3" w:rsidRDefault="007936D3" w14:paraId="15A3420D" w14:textId="77777777">
      <w:pPr>
        <w:pStyle w:val="InfoPara"/>
        <w:pBdr>
          <w:top w:val="single" w:color="auto" w:sz="4" w:space="1"/>
        </w:pBdr>
      </w:pPr>
      <w:r>
        <w:t>Class A</w:t>
      </w:r>
      <w:r>
        <w:tab/>
        <w:t>96</w:t>
      </w:r>
      <w:r w:rsidR="002A3B10">
        <w:tab/>
      </w:r>
      <w:r w:rsidR="002A3B10">
        <w:tab/>
      </w:r>
      <w:r w:rsidR="002A3B10">
        <w:tab/>
      </w:r>
      <w:r w:rsidR="002A3B10">
        <w:tab/>
      </w:r>
      <w:r w:rsidR="004F7795">
        <w:t>Early Development 1 - Open</w:t>
      </w:r>
    </w:p>
    <w:p w:rsidR="007936D3" w:rsidP="007936D3" w:rsidRDefault="007936D3" w14:paraId="49718C2C" w14:textId="77777777"/>
    <w:p w:rsidR="007936D3" w:rsidP="007936D3" w:rsidRDefault="007936D3" w14:paraId="241B51CC" w14:textId="77777777">
      <w:pPr>
        <w:pStyle w:val="SClassInfoPara"/>
      </w:pPr>
      <w:r>
        <w:lastRenderedPageBreak/>
        <w:t>Indicator Species</w:t>
      </w:r>
    </w:p>
    <w:p w:rsidR="007936D3" w:rsidP="007936D3" w:rsidRDefault="007936D3" w14:paraId="1E246C6B" w14:textId="77777777"/>
    <w:p w:rsidR="007936D3" w:rsidP="007936D3" w:rsidRDefault="007936D3" w14:paraId="76600070" w14:textId="77777777">
      <w:pPr>
        <w:pStyle w:val="SClassInfoPara"/>
      </w:pPr>
      <w:r>
        <w:t>Description</w:t>
      </w:r>
    </w:p>
    <w:p w:rsidR="007936D3" w:rsidP="007936D3" w:rsidRDefault="007936D3" w14:paraId="5BFDB209" w14:textId="77777777">
      <w:r>
        <w:t>Early seral stage with vi</w:t>
      </w:r>
      <w:r w:rsidR="00531A00">
        <w:t>gorous growth in grass species.</w:t>
      </w:r>
    </w:p>
    <w:p w:rsidR="007936D3" w:rsidP="007936D3" w:rsidRDefault="007936D3" w14:paraId="2EA3EC18" w14:textId="77777777"/>
    <w:p>
      <w:r>
        <w:rPr>
          <w:i/>
          <w:u w:val="single"/>
        </w:rPr>
        <w:t>Maximum Tree Size Class</w:t>
      </w:r>
      <w:br/>
      <w:r>
        <w:t>None</w:t>
      </w:r>
    </w:p>
    <w:p w:rsidR="007936D3" w:rsidP="007936D3" w:rsidRDefault="007936D3" w14:paraId="61A532FA" w14:textId="77777777">
      <w:pPr>
        <w:pStyle w:val="InfoPara"/>
        <w:pBdr>
          <w:top w:val="single" w:color="auto" w:sz="4" w:space="1"/>
        </w:pBdr>
      </w:pPr>
      <w:r>
        <w:t>Class B</w:t>
      </w:r>
      <w:r>
        <w:tab/>
        <w:t>4</w:t>
      </w:r>
      <w:r w:rsidR="002A3B10">
        <w:tab/>
      </w:r>
      <w:r w:rsidR="002A3B10">
        <w:tab/>
      </w:r>
      <w:r w:rsidR="002A3B10">
        <w:tab/>
      </w:r>
      <w:r w:rsidR="002A3B10">
        <w:tab/>
      </w:r>
      <w:r w:rsidR="004F7795">
        <w:t>Late Development 1 - Open</w:t>
      </w:r>
    </w:p>
    <w:p w:rsidR="007936D3" w:rsidP="007936D3" w:rsidRDefault="007936D3" w14:paraId="213A585C" w14:textId="77777777"/>
    <w:p w:rsidR="007936D3" w:rsidP="007936D3" w:rsidRDefault="007936D3" w14:paraId="565C7D37" w14:textId="77777777">
      <w:pPr>
        <w:pStyle w:val="SClassInfoPara"/>
      </w:pPr>
      <w:r>
        <w:t>Indicator Species</w:t>
      </w:r>
    </w:p>
    <w:p w:rsidR="007936D3" w:rsidP="007936D3" w:rsidRDefault="007936D3" w14:paraId="3B6D98FE" w14:textId="77777777"/>
    <w:p w:rsidR="007936D3" w:rsidP="007936D3" w:rsidRDefault="007936D3" w14:paraId="76931FA3" w14:textId="77777777">
      <w:pPr>
        <w:pStyle w:val="SClassInfoPara"/>
      </w:pPr>
      <w:r>
        <w:t>Description</w:t>
      </w:r>
    </w:p>
    <w:p w:rsidR="007936D3" w:rsidP="007936D3" w:rsidRDefault="007936D3" w14:paraId="0531A87B" w14:textId="4FB521BA">
      <w:r>
        <w:t>Shrub development can occur with lack of fire. These shrubs are also salt</w:t>
      </w:r>
      <w:r w:rsidR="00F00C56">
        <w:t>-</w:t>
      </w:r>
      <w:r>
        <w:t xml:space="preserve">tolerant and include </w:t>
      </w:r>
      <w:proofErr w:type="spellStart"/>
      <w:r w:rsidRPr="00AC6428">
        <w:rPr>
          <w:i/>
        </w:rPr>
        <w:t>Atriplex</w:t>
      </w:r>
      <w:proofErr w:type="spellEnd"/>
      <w:r w:rsidRPr="00AC6428">
        <w:rPr>
          <w:i/>
        </w:rPr>
        <w:t xml:space="preserve"> </w:t>
      </w:r>
      <w:proofErr w:type="spellStart"/>
      <w:r w:rsidRPr="00AC6428">
        <w:rPr>
          <w:i/>
        </w:rPr>
        <w:t>canesce</w:t>
      </w:r>
      <w:r w:rsidRPr="00AC6428" w:rsidR="00531A00">
        <w:rPr>
          <w:i/>
        </w:rPr>
        <w:t>ns</w:t>
      </w:r>
      <w:proofErr w:type="spellEnd"/>
      <w:r w:rsidR="00531A00">
        <w:t xml:space="preserve"> and </w:t>
      </w:r>
      <w:r w:rsidRPr="00AC6428" w:rsidR="00531A00">
        <w:rPr>
          <w:i/>
        </w:rPr>
        <w:t xml:space="preserve">Prosopis </w:t>
      </w:r>
      <w:proofErr w:type="spellStart"/>
      <w:r w:rsidRPr="00AC6428" w:rsidR="00531A00">
        <w:rPr>
          <w:i/>
        </w:rPr>
        <w:t>glandulosa</w:t>
      </w:r>
      <w:proofErr w:type="spellEnd"/>
      <w:r w:rsidR="00531A00">
        <w:t>.</w:t>
      </w:r>
    </w:p>
    <w:p w:rsidR="007936D3" w:rsidP="007936D3" w:rsidRDefault="007936D3" w14:paraId="5D19185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C3F95" w:rsidP="004C3F95" w:rsidRDefault="004C3F95" w14:paraId="346D59F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C3F95" w:rsidP="007936D3" w:rsidRDefault="004C3F95" w14:paraId="333E276E" w14:textId="77777777"/>
    <w:p w:rsidR="007936D3" w:rsidP="007936D3" w:rsidRDefault="007936D3" w14:paraId="3ED77A16" w14:textId="62215170">
      <w:r>
        <w:t>Sm</w:t>
      </w:r>
      <w:r w:rsidR="00F00C56">
        <w:t>it</w:t>
      </w:r>
      <w:r>
        <w:t>h, Loren M. 2003. Playas of the Great Plains. Texas Tech Univ. 2245 pp.</w:t>
      </w:r>
    </w:p>
    <w:p w:rsidR="007936D3" w:rsidP="007936D3" w:rsidRDefault="007936D3" w14:paraId="6B738624" w14:textId="77777777"/>
    <w:p w:rsidR="007936D3" w:rsidP="007936D3" w:rsidRDefault="007936D3" w14:paraId="49EDFF59" w14:textId="77777777">
      <w:r>
        <w:t xml:space="preserve">Smith and </w:t>
      </w:r>
      <w:proofErr w:type="spellStart"/>
      <w:r>
        <w:t>Haukos</w:t>
      </w:r>
      <w:proofErr w:type="spellEnd"/>
      <w:r>
        <w:t xml:space="preserve">. 2002. Floral Diversity in Relation to </w:t>
      </w:r>
      <w:proofErr w:type="spellStart"/>
      <w:r>
        <w:t>Playa</w:t>
      </w:r>
      <w:proofErr w:type="spellEnd"/>
      <w:r>
        <w:t xml:space="preserve"> Wetland Area and Watershed </w:t>
      </w:r>
      <w:proofErr w:type="spellStart"/>
      <w:r>
        <w:t>Distrubance</w:t>
      </w:r>
      <w:proofErr w:type="spellEnd"/>
      <w:r>
        <w:t>. Conservation Bio. 16(4) 1523-1739.</w:t>
      </w:r>
    </w:p>
    <w:p w:rsidRPr="00A43E41" w:rsidR="004D5F12" w:rsidP="007936D3" w:rsidRDefault="004D5F12" w14:paraId="4A69E54E"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A772D" w14:textId="77777777" w:rsidR="001E39AA" w:rsidRDefault="001E39AA">
      <w:r>
        <w:separator/>
      </w:r>
    </w:p>
  </w:endnote>
  <w:endnote w:type="continuationSeparator" w:id="0">
    <w:p w14:paraId="3E215E6A" w14:textId="77777777" w:rsidR="001E39AA" w:rsidRDefault="001E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9BAF" w14:textId="77777777" w:rsidR="007936D3" w:rsidRDefault="007936D3" w:rsidP="007936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E96DB" w14:textId="77777777" w:rsidR="001E39AA" w:rsidRDefault="001E39AA">
      <w:r>
        <w:separator/>
      </w:r>
    </w:p>
  </w:footnote>
  <w:footnote w:type="continuationSeparator" w:id="0">
    <w:p w14:paraId="1B959F79" w14:textId="77777777" w:rsidR="001E39AA" w:rsidRDefault="001E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C829F" w14:textId="77777777" w:rsidR="00A43E41" w:rsidRDefault="00A43E41" w:rsidP="007936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3213"/>
    <w:pPr>
      <w:ind w:left="720"/>
    </w:pPr>
    <w:rPr>
      <w:rFonts w:ascii="Calibri" w:eastAsia="Calibri" w:hAnsi="Calibri"/>
      <w:sz w:val="22"/>
      <w:szCs w:val="22"/>
    </w:rPr>
  </w:style>
  <w:style w:type="character" w:styleId="Hyperlink">
    <w:name w:val="Hyperlink"/>
    <w:rsid w:val="00D03213"/>
    <w:rPr>
      <w:color w:val="0000FF"/>
      <w:u w:val="single"/>
    </w:rPr>
  </w:style>
  <w:style w:type="paragraph" w:styleId="BalloonText">
    <w:name w:val="Balloon Text"/>
    <w:basedOn w:val="Normal"/>
    <w:link w:val="BalloonTextChar"/>
    <w:uiPriority w:val="99"/>
    <w:semiHidden/>
    <w:unhideWhenUsed/>
    <w:rsid w:val="00432C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C64"/>
    <w:rPr>
      <w:rFonts w:ascii="Segoe UI" w:hAnsi="Segoe UI" w:cs="Segoe UI"/>
      <w:sz w:val="18"/>
      <w:szCs w:val="18"/>
    </w:rPr>
  </w:style>
  <w:style w:type="character" w:styleId="Mention">
    <w:name w:val="Mention"/>
    <w:basedOn w:val="DefaultParagraphFont"/>
    <w:uiPriority w:val="99"/>
    <w:semiHidden/>
    <w:unhideWhenUsed/>
    <w:rsid w:val="00894ACD"/>
    <w:rPr>
      <w:color w:val="2B579A"/>
      <w:shd w:val="clear" w:color="auto" w:fill="E6E6E6"/>
    </w:rPr>
  </w:style>
  <w:style w:type="character" w:styleId="CommentReference">
    <w:name w:val="annotation reference"/>
    <w:basedOn w:val="DefaultParagraphFont"/>
    <w:uiPriority w:val="99"/>
    <w:semiHidden/>
    <w:unhideWhenUsed/>
    <w:rsid w:val="00F00C56"/>
    <w:rPr>
      <w:sz w:val="16"/>
      <w:szCs w:val="16"/>
    </w:rPr>
  </w:style>
  <w:style w:type="paragraph" w:styleId="CommentText">
    <w:name w:val="annotation text"/>
    <w:basedOn w:val="Normal"/>
    <w:link w:val="CommentTextChar"/>
    <w:uiPriority w:val="99"/>
    <w:semiHidden/>
    <w:unhideWhenUsed/>
    <w:rsid w:val="00F00C56"/>
    <w:rPr>
      <w:sz w:val="20"/>
      <w:szCs w:val="20"/>
    </w:rPr>
  </w:style>
  <w:style w:type="character" w:customStyle="1" w:styleId="CommentTextChar">
    <w:name w:val="Comment Text Char"/>
    <w:basedOn w:val="DefaultParagraphFont"/>
    <w:link w:val="CommentText"/>
    <w:uiPriority w:val="99"/>
    <w:semiHidden/>
    <w:rsid w:val="00F00C56"/>
  </w:style>
  <w:style w:type="paragraph" w:styleId="CommentSubject">
    <w:name w:val="annotation subject"/>
    <w:basedOn w:val="CommentText"/>
    <w:next w:val="CommentText"/>
    <w:link w:val="CommentSubjectChar"/>
    <w:uiPriority w:val="99"/>
    <w:semiHidden/>
    <w:unhideWhenUsed/>
    <w:rsid w:val="00F00C56"/>
    <w:rPr>
      <w:b/>
      <w:bCs/>
    </w:rPr>
  </w:style>
  <w:style w:type="character" w:customStyle="1" w:styleId="CommentSubjectChar">
    <w:name w:val="Comment Subject Char"/>
    <w:basedOn w:val="CommentTextChar"/>
    <w:link w:val="CommentSubject"/>
    <w:uiPriority w:val="99"/>
    <w:semiHidden/>
    <w:rsid w:val="00F00C56"/>
    <w:rPr>
      <w:b/>
      <w:bCs/>
    </w:rPr>
  </w:style>
  <w:style w:type="character" w:customStyle="1" w:styleId="spellingerror">
    <w:name w:val="spellingerror"/>
    <w:basedOn w:val="DefaultParagraphFont"/>
    <w:rsid w:val="004C3F95"/>
  </w:style>
  <w:style w:type="character" w:customStyle="1" w:styleId="normaltextrun1">
    <w:name w:val="normaltextrun1"/>
    <w:basedOn w:val="DefaultParagraphFont"/>
    <w:rsid w:val="004C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34849">
      <w:bodyDiv w:val="1"/>
      <w:marLeft w:val="0"/>
      <w:marRight w:val="0"/>
      <w:marTop w:val="0"/>
      <w:marBottom w:val="0"/>
      <w:divBdr>
        <w:top w:val="none" w:sz="0" w:space="0" w:color="auto"/>
        <w:left w:val="none" w:sz="0" w:space="0" w:color="auto"/>
        <w:bottom w:val="none" w:sz="0" w:space="0" w:color="auto"/>
        <w:right w:val="none" w:sz="0" w:space="0" w:color="auto"/>
      </w:divBdr>
    </w:div>
    <w:div w:id="20305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derrick.holdstock@tpwd.texas.gov"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2014-08-21T14:47:00Z</cp:lastPrinted>
  <dcterms:created xsi:type="dcterms:W3CDTF">2017-08-30T17:43:00Z</dcterms:created>
  <dcterms:modified xsi:type="dcterms:W3CDTF">2025-02-12T09:42:05Z</dcterms:modified>
</cp:coreProperties>
</file>