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13E0" w:rsidP="00B113E0" w:rsidRDefault="00B113E0" w14:paraId="37538821" w14:textId="56CAC126">
      <w:pPr>
        <w:pStyle w:val="BpSTitle"/>
      </w:pPr>
      <w:r>
        <w:t>16141</w:t>
      </w:r>
    </w:p>
    <w:p w:rsidR="00B113E0" w:rsidP="00B113E0" w:rsidRDefault="00B113E0" w14:paraId="1A9A2C90" w14:textId="77777777">
      <w:pPr>
        <w:pStyle w:val="BpSTitle"/>
      </w:pPr>
      <w:bookmarkStart w:name="_Hlk101266221" w:id="0"/>
      <w:r>
        <w:t>Western North American Boreal Montane Floodplain Forest and Shrubland - Boreal</w:t>
      </w:r>
    </w:p>
    <w:bookmarkEnd w:id="0"/>
    <w:p w:rsidR="00B113E0" w:rsidP="00B113E0" w:rsidRDefault="00B113E0" w14:paraId="27AC4A3C" w14:textId="77777777">
      <w:r>
        <w:t>BpS Model/Description Version: Nov. 2024</w:t>
      </w:r>
      <w:r>
        <w:tab/>
      </w:r>
      <w:r>
        <w:tab/>
      </w:r>
      <w:r>
        <w:tab/>
      </w:r>
      <w:r>
        <w:tab/>
      </w:r>
      <w:r>
        <w:tab/>
      </w:r>
      <w:r>
        <w:tab/>
      </w:r>
      <w:r>
        <w:tab/>
      </w:r>
      <w:r>
        <w:tab/>
      </w:r>
    </w:p>
    <w:p w:rsidR="00B113E0" w:rsidP="00B113E0" w:rsidRDefault="00B113E0" w14:paraId="17A8A2EF" w14:textId="77777777"/>
    <w:p w:rsidRPr="001E6F2C" w:rsidR="00E644C3" w:rsidP="001E6F2C" w:rsidRDefault="00CB0353" w14:paraId="6D9A9306" w14:textId="54AB160F">
      <w:pPr>
        <w:pStyle w:val="InfoPara"/>
        <w:rPr>
          <w:b w:val="0"/>
          <w:bCs/>
        </w:rPr>
      </w:pPr>
      <w:r>
        <w:t xml:space="preserve">Reviewer: </w:t>
      </w:r>
      <w:r>
        <w:rPr>
          <w:b w:val="0"/>
          <w:bCs/>
        </w:rPr>
        <w:t>Janet Fryer</w:t>
      </w:r>
      <w:r w:rsidR="00386108">
        <w:rPr>
          <w:b w:val="0"/>
          <w:bCs/>
        </w:rPr>
        <w:t xml:space="preserve"> and </w:t>
      </w:r>
      <w:r w:rsidRPr="00D2712C" w:rsidR="00386108">
        <w:rPr>
          <w:b w:val="0"/>
        </w:rPr>
        <w:t>Blaine T. Spellman</w:t>
      </w:r>
    </w:p>
    <w:p w:rsidR="00B113E0" w:rsidP="001E6F2C" w:rsidRDefault="00B113E0" w14:paraId="5EB84A2D" w14:textId="6BCB3419">
      <w:pPr>
        <w:pStyle w:val="InfoPara"/>
      </w:pPr>
      <w:r>
        <w:t>Vegetation Type</w:t>
      </w:r>
    </w:p>
    <w:p w:rsidR="00B113E0" w:rsidP="00B113E0" w:rsidRDefault="00B113E0" w14:paraId="5F028559" w14:textId="77777777">
      <w:r>
        <w:t>Forest and Woodland</w:t>
      </w:r>
    </w:p>
    <w:p w:rsidR="00B113E0" w:rsidP="00B113E0" w:rsidRDefault="00B113E0" w14:paraId="7EC2A1D6" w14:textId="77777777">
      <w:pPr>
        <w:pStyle w:val="InfoPara"/>
      </w:pPr>
      <w:r>
        <w:t>Map Zones</w:t>
      </w:r>
    </w:p>
    <w:p w:rsidRPr="004B7E38" w:rsidR="000B4271" w:rsidP="0B584568" w:rsidRDefault="004B7E38" w14:paraId="0649F954" w14:textId="49D6FAE9">
      <w:pPr>
        <w:rPr>
          <w:rFonts w:ascii="Times New Roman" w:hAnsi="Times New Roman" w:eastAsia="Times New Roman" w:cs="Times New Roman"/>
          <w:color w:val="000000"/>
          <w:sz w:val="24"/>
          <w:szCs w:val="24"/>
        </w:rPr>
      </w:pPr>
      <w:r w:rsidRPr="0B584568" w:rsidR="0B584568">
        <w:rPr>
          <w:rFonts w:ascii="Times New Roman" w:hAnsi="Times New Roman" w:eastAsia="Times New Roman" w:cs="Times New Roman"/>
          <w:color w:val="000000" w:themeColor="text1" w:themeTint="FF" w:themeShade="FF"/>
          <w:sz w:val="24"/>
          <w:szCs w:val="24"/>
        </w:rPr>
        <w:t>68, 69, 70, 71, 72, 73, 74, 76, 78</w:t>
      </w:r>
    </w:p>
    <w:p w:rsidR="00B113E0" w:rsidP="00B113E0" w:rsidRDefault="00B113E0" w14:paraId="01A9CCE7" w14:textId="710C774F">
      <w:pPr>
        <w:pStyle w:val="InfoPara"/>
      </w:pPr>
      <w:r>
        <w:t>Model Splits or Lumps</w:t>
      </w:r>
    </w:p>
    <w:p w:rsidR="001E6F2C" w:rsidP="0B584568" w:rsidRDefault="00B113E0" w14:paraId="5DC40892" w14:textId="555774BA">
      <w:pPr>
        <w:pStyle w:val="Normal"/>
      </w:pPr>
      <w:r w:rsidR="0B584568">
        <w:rPr/>
        <w:t>This Biophysical Setting (</w:t>
      </w:r>
      <w:proofErr w:type="spellStart"/>
      <w:r w:rsidR="0B584568">
        <w:rPr/>
        <w:t>BpS</w:t>
      </w:r>
      <w:proofErr w:type="spellEnd"/>
      <w:r w:rsidR="0B584568">
        <w:rPr/>
        <w:t xml:space="preserve">) is split into multiple models: Western North American Boreal Montane Floodplain Forest and Shrubland was split into a Boreal and Sub-boreal variant for </w:t>
      </w:r>
      <w:proofErr w:type="spellStart"/>
      <w:r w:rsidR="0B584568">
        <w:rPr/>
        <w:t>BpS</w:t>
      </w:r>
      <w:proofErr w:type="spellEnd"/>
      <w:r w:rsidR="0B584568">
        <w:rPr/>
        <w:t xml:space="preserve"> modeling so that regional differences could be represented. For mapping </w:t>
      </w:r>
      <w:proofErr w:type="spellStart"/>
      <w:r w:rsidR="0B584568">
        <w:rPr/>
        <w:t>BpS</w:t>
      </w:r>
      <w:proofErr w:type="spellEnd"/>
      <w:r w:rsidR="0B584568">
        <w:rPr/>
        <w:t xml:space="preserve"> 16141 should apply in level 2 ecoregions (</w:t>
      </w:r>
      <w:proofErr w:type="spellStart"/>
      <w:r w:rsidR="0B584568">
        <w:rPr/>
        <w:t>Nowaki</w:t>
      </w:r>
      <w:proofErr w:type="spellEnd"/>
      <w:r w:rsidR="0B584568">
        <w:rPr/>
        <w:t xml:space="preserve"> et al. 2001): Intermontane Boreal, Aleutian Meadows, Arctic Tundra, Bering Taiga, Bering Tundra.</w:t>
      </w:r>
    </w:p>
    <w:p w:rsidR="00B113E0" w:rsidP="00B113E0" w:rsidRDefault="00B113E0" w14:paraId="5AF479D1" w14:textId="77777777">
      <w:pPr>
        <w:pStyle w:val="InfoPara"/>
      </w:pPr>
      <w:r>
        <w:t>Geographic Range</w:t>
      </w:r>
    </w:p>
    <w:p w:rsidR="00B113E0" w:rsidP="00B113E0" w:rsidRDefault="00B113E0" w14:paraId="6FF223D6" w14:textId="77777777">
      <w:r>
        <w:t>This type occurs on floodplains throughout the boreal region of AK.</w:t>
      </w:r>
    </w:p>
    <w:p w:rsidR="00B113E0" w:rsidP="00B113E0" w:rsidRDefault="00B113E0" w14:paraId="3755AB93" w14:textId="77777777">
      <w:pPr>
        <w:pStyle w:val="InfoPara"/>
      </w:pPr>
      <w:r>
        <w:t>Biophysical Site Description</w:t>
      </w:r>
    </w:p>
    <w:p w:rsidR="00B113E0" w:rsidP="00B113E0" w:rsidRDefault="00B113E0" w14:paraId="6848B79C" w14:textId="2C7486CA">
      <w:r>
        <w:t>The substrate is typically well-drained sand or cobble, although finer silts and clays can be found on higher terraces, in ponds, on distal floodplains, and in lower energy systems. Permafrost is usually absent</w:t>
      </w:r>
      <w:bookmarkStart w:name="_Hlk101268037" w:id="1"/>
      <w:r w:rsidR="002405F2">
        <w:t>. S</w:t>
      </w:r>
      <w:r w:rsidR="006D6574">
        <w:t>oils tend to be sandy and gravelly, at least somewhere within the top one meter</w:t>
      </w:r>
      <w:r w:rsidR="002405F2">
        <w:t>, and a</w:t>
      </w:r>
      <w:r w:rsidR="006D6574">
        <w:t xml:space="preserve">s a result, </w:t>
      </w:r>
      <w:r w:rsidR="00C119C9">
        <w:t xml:space="preserve">these soils </w:t>
      </w:r>
      <w:r w:rsidR="006D6574">
        <w:t>do not develop permafrost</w:t>
      </w:r>
      <w:r>
        <w:t xml:space="preserve">. </w:t>
      </w:r>
      <w:bookmarkEnd w:id="1"/>
    </w:p>
    <w:p w:rsidR="00B113E0" w:rsidP="00B113E0" w:rsidRDefault="00B113E0" w14:paraId="48B8D2E2" w14:textId="77777777">
      <w:pPr>
        <w:pStyle w:val="InfoPara"/>
      </w:pPr>
      <w:r>
        <w:t>Vegetation Description</w:t>
      </w:r>
    </w:p>
    <w:p w:rsidR="00B113E0" w:rsidP="00B113E0" w:rsidRDefault="00B113E0" w14:paraId="757F0190" w14:textId="010937ED">
      <w:r>
        <w:t xml:space="preserve">Primary succession on floodplains begins when new alluvial surfaces are colonized by tree, shrub, and herbaceous </w:t>
      </w:r>
      <w:r w:rsidR="001B2D16">
        <w:t>vegetation</w:t>
      </w:r>
      <w:r>
        <w:t xml:space="preserve">. Common early seral woody species include </w:t>
      </w:r>
      <w:r w:rsidRPr="008D6760">
        <w:rPr>
          <w:i/>
          <w:iCs/>
        </w:rPr>
        <w:t>Populus balsamifera</w:t>
      </w:r>
      <w:r>
        <w:t xml:space="preserve"> (seedlings), </w:t>
      </w:r>
      <w:r w:rsidRPr="008D6760">
        <w:rPr>
          <w:i/>
          <w:iCs/>
        </w:rPr>
        <w:t>Picea glauca</w:t>
      </w:r>
      <w:r>
        <w:t xml:space="preserve"> (seedlings), </w:t>
      </w:r>
      <w:r w:rsidRPr="008D6760">
        <w:rPr>
          <w:i/>
          <w:iCs/>
        </w:rPr>
        <w:t>Alnus viridis</w:t>
      </w:r>
      <w:r>
        <w:t xml:space="preserve"> ssp. </w:t>
      </w:r>
      <w:r w:rsidRPr="00E2058A">
        <w:rPr>
          <w:i/>
          <w:iCs/>
        </w:rPr>
        <w:t>sinuata</w:t>
      </w:r>
      <w:r>
        <w:t xml:space="preserve">, Alnus incana ssp. </w:t>
      </w:r>
      <w:r w:rsidRPr="00E2058A">
        <w:rPr>
          <w:i/>
          <w:iCs/>
        </w:rPr>
        <w:t>tenuifolia</w:t>
      </w:r>
      <w:r>
        <w:t xml:space="preserve">, </w:t>
      </w:r>
      <w:r w:rsidRPr="00E2058A">
        <w:rPr>
          <w:i/>
          <w:iCs/>
        </w:rPr>
        <w:t>Salix barclayi</w:t>
      </w:r>
      <w:r w:rsidR="00900541">
        <w:t xml:space="preserve"> (most commonly found in and south of the Alaska Range)</w:t>
      </w:r>
      <w:r w:rsidR="00E0508D">
        <w:t>,</w:t>
      </w:r>
      <w:r>
        <w:t xml:space="preserve"> and </w:t>
      </w:r>
      <w:r w:rsidRPr="00E2058A">
        <w:rPr>
          <w:i/>
          <w:iCs/>
        </w:rPr>
        <w:t>Salix alaxensis</w:t>
      </w:r>
      <w:r>
        <w:t xml:space="preserve"> (Boggs 2000</w:t>
      </w:r>
      <w:r w:rsidR="00E2058A">
        <w:t>;</w:t>
      </w:r>
      <w:r>
        <w:t xml:space="preserve"> Scott 1974</w:t>
      </w:r>
      <w:r w:rsidR="00E2058A">
        <w:t>;</w:t>
      </w:r>
      <w:r>
        <w:t xml:space="preserve"> Shephard 1995</w:t>
      </w:r>
      <w:r w:rsidR="00E2058A">
        <w:t>;</w:t>
      </w:r>
      <w:r>
        <w:t xml:space="preserve"> Thilenius 1990</w:t>
      </w:r>
      <w:r w:rsidR="00E2058A">
        <w:t>;</w:t>
      </w:r>
      <w:r>
        <w:t xml:space="preserve"> Viereck 1966). Common early seral herbaceous species may include </w:t>
      </w:r>
      <w:r w:rsidRPr="0072724E">
        <w:rPr>
          <w:i/>
          <w:iCs/>
        </w:rPr>
        <w:t>Lupinus</w:t>
      </w:r>
      <w:r>
        <w:t xml:space="preserve"> spp., </w:t>
      </w:r>
      <w:r w:rsidRPr="0072724E">
        <w:rPr>
          <w:i/>
          <w:iCs/>
        </w:rPr>
        <w:t>Hedysarum</w:t>
      </w:r>
      <w:r>
        <w:t xml:space="preserve"> spp., and </w:t>
      </w:r>
      <w:r w:rsidRPr="0072724E">
        <w:rPr>
          <w:i/>
          <w:iCs/>
        </w:rPr>
        <w:t xml:space="preserve">Equisetum </w:t>
      </w:r>
      <w:r>
        <w:t xml:space="preserve">spp. (NatureServe 2008). The next seral stage </w:t>
      </w:r>
      <w:r w:rsidR="00E0508D">
        <w:t xml:space="preserve">is </w:t>
      </w:r>
      <w:r>
        <w:t xml:space="preserve">dominated by </w:t>
      </w:r>
      <w:r w:rsidRPr="00834320">
        <w:rPr>
          <w:i/>
          <w:iCs/>
        </w:rPr>
        <w:t>Populus balsamifera</w:t>
      </w:r>
      <w:r>
        <w:t xml:space="preserve"> and/or </w:t>
      </w:r>
      <w:r w:rsidRPr="00834320">
        <w:rPr>
          <w:i/>
          <w:iCs/>
        </w:rPr>
        <w:t xml:space="preserve">Picea glauca </w:t>
      </w:r>
      <w:r>
        <w:t xml:space="preserve">with an understory of </w:t>
      </w:r>
      <w:r w:rsidRPr="00834320">
        <w:rPr>
          <w:i/>
          <w:iCs/>
        </w:rPr>
        <w:t xml:space="preserve">Alnus viridis </w:t>
      </w:r>
      <w:r w:rsidRPr="00834320">
        <w:t>ssp.</w:t>
      </w:r>
      <w:r w:rsidRPr="00834320">
        <w:rPr>
          <w:i/>
          <w:iCs/>
        </w:rPr>
        <w:t xml:space="preserve"> sinuata</w:t>
      </w:r>
      <w:r>
        <w:t xml:space="preserve">, </w:t>
      </w:r>
      <w:r w:rsidRPr="00834320">
        <w:rPr>
          <w:i/>
          <w:iCs/>
        </w:rPr>
        <w:t>Salix</w:t>
      </w:r>
      <w:r>
        <w:t xml:space="preserve"> spp., and </w:t>
      </w:r>
      <w:r w:rsidR="00E50ACB">
        <w:t xml:space="preserve">various </w:t>
      </w:r>
      <w:r>
        <w:t xml:space="preserve">bryophytes. On dry sites the shrub layer may be dominated by </w:t>
      </w:r>
      <w:r w:rsidRPr="00E50ACB">
        <w:rPr>
          <w:i/>
          <w:iCs/>
        </w:rPr>
        <w:t xml:space="preserve">Shepherdia canadensis, Dryas octopetala, </w:t>
      </w:r>
      <w:r w:rsidR="00E50ACB">
        <w:rPr>
          <w:i/>
          <w:iCs/>
        </w:rPr>
        <w:t>Dryas</w:t>
      </w:r>
      <w:r w:rsidRPr="00E50ACB">
        <w:rPr>
          <w:i/>
          <w:iCs/>
        </w:rPr>
        <w:t xml:space="preserve"> integrifolia</w:t>
      </w:r>
      <w:r w:rsidR="00E0508D">
        <w:t>,</w:t>
      </w:r>
      <w:r>
        <w:t xml:space="preserve"> and fruticose lichens (</w:t>
      </w:r>
      <w:r w:rsidRPr="00E50ACB">
        <w:rPr>
          <w:i/>
          <w:iCs/>
        </w:rPr>
        <w:t>Ster</w:t>
      </w:r>
      <w:r w:rsidRPr="00E50ACB" w:rsidR="00E0508D">
        <w:rPr>
          <w:i/>
          <w:iCs/>
        </w:rPr>
        <w:t>e</w:t>
      </w:r>
      <w:r w:rsidRPr="00E50ACB">
        <w:rPr>
          <w:i/>
          <w:iCs/>
        </w:rPr>
        <w:t>oucaulon</w:t>
      </w:r>
      <w:r>
        <w:t xml:space="preserve"> spp.) (NatureServe 2008). The tall shrub component </w:t>
      </w:r>
      <w:r w:rsidR="00900541">
        <w:t>(</w:t>
      </w:r>
      <w:r w:rsidRPr="0046332E" w:rsidR="00900541">
        <w:rPr>
          <w:i/>
          <w:iCs/>
        </w:rPr>
        <w:t>Salix/Populus</w:t>
      </w:r>
      <w:r w:rsidR="00900541">
        <w:t xml:space="preserve">) </w:t>
      </w:r>
      <w:r>
        <w:t>of the early successional stages diminishes rapidly because of decreased light from the dense tree overstory</w:t>
      </w:r>
      <w:r w:rsidR="00900541">
        <w:t xml:space="preserve"> (Chapin et al. 2006)</w:t>
      </w:r>
      <w:r>
        <w:t xml:space="preserve">. </w:t>
      </w:r>
      <w:r w:rsidRPr="0046332E">
        <w:rPr>
          <w:i/>
          <w:iCs/>
        </w:rPr>
        <w:t>Populus balsamifera</w:t>
      </w:r>
      <w:r>
        <w:t xml:space="preserve"> does not regenerate in the understory and consequently, </w:t>
      </w:r>
      <w:r w:rsidRPr="0046332E">
        <w:rPr>
          <w:i/>
          <w:iCs/>
        </w:rPr>
        <w:t>Picea glauca</w:t>
      </w:r>
      <w:r>
        <w:t xml:space="preserve"> gains dominance in the overstory within 150yrs (NatureServe 2008). </w:t>
      </w:r>
      <w:r w:rsidRPr="0046332E">
        <w:rPr>
          <w:i/>
          <w:iCs/>
        </w:rPr>
        <w:t>Rosa acicularis</w:t>
      </w:r>
      <w:r w:rsidRPr="0046332E" w:rsidR="00900541">
        <w:rPr>
          <w:i/>
          <w:iCs/>
        </w:rPr>
        <w:t>, Alnus viridis</w:t>
      </w:r>
      <w:r w:rsidR="00900541">
        <w:t xml:space="preserve"> spp</w:t>
      </w:r>
      <w:r w:rsidR="0046332E">
        <w:t>.</w:t>
      </w:r>
      <w:r w:rsidR="00900541">
        <w:t xml:space="preserve"> </w:t>
      </w:r>
      <w:r w:rsidRPr="0046332E" w:rsidR="00900541">
        <w:rPr>
          <w:i/>
          <w:iCs/>
        </w:rPr>
        <w:t>fruticose,</w:t>
      </w:r>
      <w:r w:rsidRPr="0046332E">
        <w:rPr>
          <w:i/>
          <w:iCs/>
        </w:rPr>
        <w:t xml:space="preserve"> Viburnum edule</w:t>
      </w:r>
      <w:r w:rsidRPr="0046332E" w:rsidR="00BB404C">
        <w:rPr>
          <w:i/>
          <w:iCs/>
        </w:rPr>
        <w:t>, Calamagrostis canadensis</w:t>
      </w:r>
      <w:r w:rsidRPr="0046332E" w:rsidR="000D6E36">
        <w:rPr>
          <w:i/>
          <w:iCs/>
        </w:rPr>
        <w:t>, Hylocomium splendens,</w:t>
      </w:r>
      <w:r w:rsidR="000D6E36">
        <w:t xml:space="preserve"> and </w:t>
      </w:r>
      <w:r w:rsidRPr="0046332E" w:rsidR="000D6E36">
        <w:rPr>
          <w:i/>
          <w:iCs/>
        </w:rPr>
        <w:t>Pluerozium schredberi</w:t>
      </w:r>
      <w:r>
        <w:t xml:space="preserve"> are common on older surfaces.</w:t>
      </w:r>
    </w:p>
    <w:p w:rsidR="00B113E0" w:rsidP="00B113E0" w:rsidRDefault="00B113E0" w14:paraId="246BECDF" w14:textId="77777777">
      <w:pPr>
        <w:pStyle w:val="InfoPara"/>
      </w:pPr>
      <w:r>
        <w:t>BpS Dominant and Indicator Species</w:t>
      </w:r>
    </w:p>
    <w:p>
      <w:r>
        <w:rPr>
          <w:sz w:val="16"/>
        </w:rPr>
        <w:t>Species names are from the NRCS PLANTS database. Check species codes at http://plants.usda.gov.</w:t>
      </w:r>
    </w:p>
    <w:p w:rsidR="00B113E0" w:rsidP="00B113E0" w:rsidRDefault="00B113E0" w14:paraId="34B52CAB" w14:textId="77777777">
      <w:pPr>
        <w:pStyle w:val="InfoPara"/>
      </w:pPr>
      <w:r>
        <w:t>Disturbance Description</w:t>
      </w:r>
    </w:p>
    <w:p w:rsidR="00B113E0" w:rsidP="00B113E0" w:rsidRDefault="00B113E0" w14:paraId="237BCB75" w14:textId="2875E268">
      <w:r>
        <w:t>Flooding is the primary disturbance in this system. Flooding can be caused by snowmelt, precipitation, ice jams</w:t>
      </w:r>
      <w:r w:rsidR="00E0508D">
        <w:t>,</w:t>
      </w:r>
      <w:r>
        <w:t xml:space="preserve"> and glacial runoff. Different rivers or portions of rivers may be more prone to certain types of flooding. Frequent flooding and channel migration create</w:t>
      </w:r>
      <w:r w:rsidR="000047DE">
        <w:t>s</w:t>
      </w:r>
      <w:r>
        <w:t xml:space="preserve"> a pattern of gravel bars and early successional stages across the valley bottom. Sediment deposition raises the surface of the floodplain over time. As the terrace becomes farther removed from the channel, flooding becomes less frequent. Water availability on terraces plays a major role in community structure and composition. Water inputs </w:t>
      </w:r>
      <w:r w:rsidR="006978FF">
        <w:t>come</w:t>
      </w:r>
      <w:r>
        <w:t xml:space="preserve"> from overbank flow (flooding), ground water, and precipitation. Deposits with high permeability become progressively drier as they are vertically and horizontally removed from the active channels. </w:t>
      </w:r>
    </w:p>
    <w:p w:rsidR="00B113E0" w:rsidP="00B113E0" w:rsidRDefault="00B113E0" w14:paraId="5F391833" w14:textId="77777777"/>
    <w:p w:rsidR="00B113E0" w:rsidP="00B113E0" w:rsidRDefault="00B113E0" w14:paraId="2C624E6B" w14:textId="19ED0C44">
      <w:r>
        <w:t>Vegetation succession on gravel bars can be represented by the following seral stages: barren or herbaceous, willow or willow</w:t>
      </w:r>
      <w:r w:rsidR="00E0508D">
        <w:t>-alder, alder, poplar or spruce-</w:t>
      </w:r>
      <w:r>
        <w:t xml:space="preserve">poplar, </w:t>
      </w:r>
      <w:r w:rsidR="00EE2C20">
        <w:t xml:space="preserve">and </w:t>
      </w:r>
      <w:r>
        <w:t>spruce. Oxbows and other wet depressions commonly form on the floodplains and develop into wetlands</w:t>
      </w:r>
      <w:r w:rsidR="006D6574">
        <w:t xml:space="preserve"> (which are represented by different BpS descriptions and models)</w:t>
      </w:r>
      <w:r>
        <w:t xml:space="preserve">. </w:t>
      </w:r>
      <w:r w:rsidR="007A55C8">
        <w:t>However, s</w:t>
      </w:r>
      <w:r>
        <w:t xml:space="preserve">uccession and species composition </w:t>
      </w:r>
      <w:proofErr w:type="gramStart"/>
      <w:r>
        <w:t>is</w:t>
      </w:r>
      <w:proofErr w:type="gramEnd"/>
      <w:r w:rsidR="007A55C8">
        <w:t xml:space="preserve"> </w:t>
      </w:r>
      <w:r>
        <w:t>variable due to diverse environmental conditions such as water depth, substrate</w:t>
      </w:r>
      <w:r w:rsidR="00E0508D">
        <w:t>,</w:t>
      </w:r>
      <w:r>
        <w:t xml:space="preserve"> and nutrient input. </w:t>
      </w:r>
    </w:p>
    <w:p w:rsidR="00B113E0" w:rsidP="00B113E0" w:rsidRDefault="00B113E0" w14:paraId="52673C4E" w14:textId="77777777"/>
    <w:p w:rsidR="00B113E0" w:rsidP="00B113E0" w:rsidRDefault="00B113E0" w14:paraId="48BC4C86" w14:textId="77777777">
      <w:r>
        <w:t>Estimates of mean fire return intervals include:</w:t>
      </w:r>
    </w:p>
    <w:p w:rsidR="00B113E0" w:rsidP="00B113E0" w:rsidRDefault="00B113E0" w14:paraId="7AD090E2" w14:textId="77777777">
      <w:r>
        <w:t xml:space="preserve">-200yrs+ (200-300yr range) (Viereck 1973, Barney 1971) </w:t>
      </w:r>
    </w:p>
    <w:p w:rsidR="00B113E0" w:rsidP="00B113E0" w:rsidRDefault="00B113E0" w14:paraId="2E5336FF" w14:textId="77777777">
      <w:r>
        <w:t>-300yrs (Rowe et al</w:t>
      </w:r>
      <w:r w:rsidR="00E0508D">
        <w:t>.</w:t>
      </w:r>
      <w:r>
        <w:t xml:space="preserve"> 1974) (for alluvial white spruce</w:t>
      </w:r>
      <w:r w:rsidR="00E0508D">
        <w:t>,</w:t>
      </w:r>
      <w:r>
        <w:t xml:space="preserve"> MacKenzie River Valley)</w:t>
      </w:r>
    </w:p>
    <w:p w:rsidR="00B113E0" w:rsidP="00B113E0" w:rsidRDefault="00B113E0" w14:paraId="4971A915" w14:textId="77777777">
      <w:r>
        <w:t xml:space="preserve">-300yrs (Heinselman 1981) </w:t>
      </w:r>
    </w:p>
    <w:p w:rsidR="00B113E0" w:rsidP="00B113E0" w:rsidRDefault="00B113E0" w14:paraId="2870594E" w14:textId="77777777">
      <w:r>
        <w:t>-300yrs (Duchesne and Hawkes 2000)</w:t>
      </w:r>
    </w:p>
    <w:p w:rsidR="00B113E0" w:rsidP="00B113E0" w:rsidRDefault="00B113E0" w14:paraId="791ED488" w14:textId="77777777">
      <w:r>
        <w:t>-300yrs (personal communication experts’ workshop March 2004)</w:t>
      </w:r>
    </w:p>
    <w:p w:rsidR="00B113E0" w:rsidP="00B113E0" w:rsidRDefault="00B113E0" w14:paraId="2ECC6563" w14:textId="77777777"/>
    <w:p w:rsidR="00B113E0" w:rsidP="00B113E0" w:rsidRDefault="00B113E0" w14:paraId="725A43BB" w14:textId="758098B3">
      <w:r>
        <w:t xml:space="preserve">Small, relatively infrequent, mixed severity fires characterize this </w:t>
      </w:r>
      <w:r w:rsidR="0059607A">
        <w:t xml:space="preserve">BpS </w:t>
      </w:r>
      <w:r>
        <w:t xml:space="preserve">due to the sites’ proximity to rivers, which act as firebreaks (Viereck 1973, Barney 1971, Foote 1983). High moisture content of the vegetation, high percentage of deciduous species, and high relative humidity also contribute to making fires less frequent in the </w:t>
      </w:r>
      <w:r w:rsidR="0059607A">
        <w:t>r</w:t>
      </w:r>
      <w:r>
        <w:t xml:space="preserve">iparian </w:t>
      </w:r>
      <w:r w:rsidR="0059607A">
        <w:t>s</w:t>
      </w:r>
      <w:r>
        <w:t xml:space="preserve">pruce </w:t>
      </w:r>
      <w:r w:rsidR="0059607A">
        <w:t>h</w:t>
      </w:r>
      <w:r>
        <w:t xml:space="preserve">ardwood </w:t>
      </w:r>
      <w:r w:rsidR="0059607A">
        <w:t xml:space="preserve">communities </w:t>
      </w:r>
      <w:r>
        <w:t xml:space="preserve">than in typically adjacent </w:t>
      </w:r>
      <w:r w:rsidR="0059607A">
        <w:t>BpS</w:t>
      </w:r>
      <w:r>
        <w:t xml:space="preserve">. In interior Alaska the oldest white spruce stands (350+ yrs) are commonly found on islands </w:t>
      </w:r>
      <w:r w:rsidR="00DE6D29">
        <w:t>within</w:t>
      </w:r>
      <w:r>
        <w:t xml:space="preserve"> floodplains where they are protected from fire (Viereck 1973).</w:t>
      </w:r>
    </w:p>
    <w:p w:rsidR="004704E1" w:rsidP="00B113E0" w:rsidRDefault="004704E1" w14:paraId="2D3C9EFD" w14:textId="77777777"/>
    <w:p w:rsidR="004704E1" w:rsidP="00B113E0" w:rsidRDefault="004704E1" w14:paraId="2B96EA43" w14:textId="77777777"/>
    <w:p w:rsidR="004704E1" w:rsidP="00B113E0" w:rsidRDefault="004704E1" w14:paraId="0F8286A8" w14:textId="77777777"/>
    <w:p w:rsidR="00B113E0" w:rsidP="00B113E0" w:rsidRDefault="00B113E0" w14:paraId="0BE542B1" w14:textId="730EAC94">
      <w:pPr>
        <w:pStyle w:val="InfoPara"/>
      </w:pPr>
      <w:r w:rsidRPr="00CC374C">
        <w:t>Fire Frequency</w:t>
      </w:r>
      <w:r>
        <w:t xml:space="preserve">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113E0" w:rsidP="00B113E0" w:rsidRDefault="00B113E0" w14:paraId="39E1F26F" w14:textId="77777777">
      <w:pPr>
        <w:pStyle w:val="InfoPara"/>
      </w:pPr>
      <w:r>
        <w:t>Scale Description</w:t>
      </w:r>
    </w:p>
    <w:p w:rsidR="00B113E0" w:rsidP="00B113E0" w:rsidRDefault="00B113E0" w14:paraId="2C1E5AED" w14:textId="77777777">
      <w:r>
        <w:t>Linear</w:t>
      </w:r>
    </w:p>
    <w:p w:rsidR="00B113E0" w:rsidP="00B113E0" w:rsidRDefault="00B113E0" w14:paraId="48426BA3" w14:textId="77777777">
      <w:pPr>
        <w:pStyle w:val="InfoPara"/>
      </w:pPr>
      <w:r>
        <w:t>Adjacency or Identification Concerns</w:t>
      </w:r>
    </w:p>
    <w:p w:rsidR="00B113E0" w:rsidP="00B113E0" w:rsidRDefault="00B113E0" w14:paraId="37282DEC" w14:textId="77777777">
      <w:r>
        <w:t>This model applies to forest and shrub systems in the active and inactive portions of the floodplain, but not abandoned floodplains. Oxbows and other wet depressions commonly form on the floodplains. Floodplain Wetlands are a separate ecological system and a separate BpS.</w:t>
      </w:r>
    </w:p>
    <w:p w:rsidR="00B113E0" w:rsidP="00B113E0" w:rsidRDefault="00B113E0" w14:paraId="1B768B2E" w14:textId="77777777">
      <w:pPr>
        <w:pStyle w:val="InfoPara"/>
      </w:pPr>
      <w:r>
        <w:t>Issues or Problems</w:t>
      </w:r>
    </w:p>
    <w:p w:rsidR="00B113E0" w:rsidP="00B113E0" w:rsidRDefault="00B113E0" w14:paraId="2DC63263" w14:textId="77777777">
      <w:r>
        <w:t>Wetlands that occur on the floodplain are not considered in this model.</w:t>
      </w:r>
    </w:p>
    <w:p w:rsidR="00B113E0" w:rsidP="00B113E0" w:rsidRDefault="00B113E0" w14:paraId="2787CF2A" w14:textId="77777777">
      <w:pPr>
        <w:pStyle w:val="InfoPara"/>
      </w:pPr>
      <w:r>
        <w:t>Native Uncharacteristic Conditions</w:t>
      </w:r>
    </w:p>
    <w:p w:rsidR="00B113E0" w:rsidP="00B113E0" w:rsidRDefault="00B113E0" w14:paraId="202357E0" w14:textId="77777777"/>
    <w:p w:rsidR="00B113E0" w:rsidP="00B113E0" w:rsidRDefault="00B113E0" w14:paraId="06EEE925" w14:textId="77777777">
      <w:pPr>
        <w:pStyle w:val="InfoPara"/>
      </w:pPr>
      <w:r>
        <w:t>Comments</w:t>
      </w:r>
    </w:p>
    <w:p w:rsidR="00693789" w:rsidP="003A6517" w:rsidRDefault="00693789" w14:paraId="565AD3AE" w14:textId="3E8FF433">
      <w:r w:rsidRPr="00693789">
        <w:t xml:space="preserve">4/2022 – </w:t>
      </w:r>
      <w:r>
        <w:t xml:space="preserve">During </w:t>
      </w:r>
      <w:r w:rsidRPr="00693789">
        <w:t>the Boreal Forest BpS Review Work Session in February 2022</w:t>
      </w:r>
      <w:r>
        <w:t xml:space="preserve"> </w:t>
      </w:r>
      <w:r w:rsidRPr="00693789">
        <w:t>participants ranked the boreal forest BpS by relative fire frequency. Based on that ranking</w:t>
      </w:r>
      <w:r>
        <w:t xml:space="preserve"> </w:t>
      </w:r>
      <w:r w:rsidRPr="00693789">
        <w:t xml:space="preserve">it was estimated that this BpS would have </w:t>
      </w:r>
      <w:r>
        <w:t xml:space="preserve">the least frequent fire of all boreal forest BpS. Since the existing </w:t>
      </w:r>
      <w:r w:rsidR="0098689E">
        <w:t>mean fire return interval (</w:t>
      </w:r>
      <w:r>
        <w:t>MFRI</w:t>
      </w:r>
      <w:r w:rsidR="0098689E">
        <w:t>)</w:t>
      </w:r>
      <w:r>
        <w:t xml:space="preserve"> was already the least frequent of any of the BpS, the model was kept as is. </w:t>
      </w:r>
    </w:p>
    <w:p w:rsidR="00693789" w:rsidP="003A6517" w:rsidRDefault="00693789" w14:paraId="132D7DBE" w14:textId="77777777"/>
    <w:p w:rsidRPr="0059607A" w:rsidR="003A6517" w:rsidP="003A6517" w:rsidRDefault="00693789" w14:paraId="315D42F0" w14:textId="1F5550D3">
      <w:r>
        <w:t xml:space="preserve">2022 – Based on NRCS plots in closed white spruce stands on floodplains, a reviewer estimated that a </w:t>
      </w:r>
      <w:r w:rsidR="00F948BE">
        <w:t>MFRI</w:t>
      </w:r>
      <w:r>
        <w:t xml:space="preserve"> of 200-300 years would be </w:t>
      </w:r>
      <w:r w:rsidR="005F41D5">
        <w:t>reasonable</w:t>
      </w:r>
      <w:r>
        <w:t xml:space="preserve"> for this BpS.</w:t>
      </w:r>
    </w:p>
    <w:p w:rsidR="003A6517" w:rsidP="0059607A" w:rsidRDefault="003A6517" w14:paraId="06AB568E" w14:textId="77777777"/>
    <w:p w:rsidR="0059607A" w:rsidP="0059607A" w:rsidRDefault="005F41D5" w14:paraId="468CF42B" w14:textId="7AF7E9CF">
      <w:r>
        <w:t>2014 – A r</w:t>
      </w:r>
      <w:r w:rsidR="0059607A">
        <w:t>eviewer noted that: “</w:t>
      </w:r>
      <w:r w:rsidRPr="0059607A" w:rsidR="0059607A">
        <w:t xml:space="preserve">This model is in the ballpark of existing (and very sparse) </w:t>
      </w:r>
      <w:r w:rsidRPr="0059607A" w:rsidR="001D093C">
        <w:t>literature but</w:t>
      </w:r>
      <w:r w:rsidRPr="0059607A" w:rsidR="0059607A">
        <w:t xml:space="preserve"> may be high. From Fryer 2014: “as of 2014 there were few fire history studies documenting fire-return intervals of Alaskan balsam poplar communities. The Riley Creek study (see Table 2A*) found a fire-return interval of 40 to 60 years (Mann &amp; Plug 1999). Stand ages of 1 and 2 centuries (Edwards &amp; Dunwiddie 1985</w:t>
      </w:r>
      <w:r w:rsidR="00D457B4">
        <w:t>;</w:t>
      </w:r>
      <w:r w:rsidRPr="0059607A" w:rsidR="0059607A">
        <w:t xml:space="preserve"> Krause  et al. 1959) suggest stand-replacement fires are uncommon in balsam poplar stands (Cronan et al. [n.d.]). On the North Slope, for example, balsam poplars were 100 to 250 years old (Edwards &amp; Dunwiddie 1985). Paleological studies found fire was relatively infrequent when </w:t>
      </w:r>
      <w:r w:rsidRPr="0059607A" w:rsidR="0059607A">
        <w:rPr>
          <w:i/>
          <w:iCs/>
        </w:rPr>
        <w:t>Populus</w:t>
      </w:r>
      <w:r w:rsidRPr="0059607A" w:rsidR="0059607A">
        <w:t xml:space="preserve"> spp. dominated the landscape (Hu et al. 2006</w:t>
      </w:r>
      <w:r w:rsidR="00780E94">
        <w:t xml:space="preserve">; </w:t>
      </w:r>
      <w:r w:rsidRPr="0059607A" w:rsidR="0059607A">
        <w:t>Lynch &amp; Hu 2003) (see Table 2B**).”</w:t>
      </w:r>
    </w:p>
    <w:p w:rsidR="0059607A" w:rsidP="00B113E0" w:rsidRDefault="0059607A" w14:paraId="68377C1F" w14:textId="77777777"/>
    <w:p w:rsidR="00B113E0" w:rsidP="00BD634E" w:rsidRDefault="0059607A" w14:paraId="695EC400" w14:textId="500CFCD3">
      <w:r>
        <w:t>During LANDFIRE National</w:t>
      </w:r>
      <w:r w:rsidR="00780E94">
        <w:t>,</w:t>
      </w:r>
      <w:r>
        <w:t xml:space="preserve"> t</w:t>
      </w:r>
      <w:r w:rsidR="00B113E0">
        <w:t>his model was created for the boreal region of AK and did not receive review for other parts of the state.</w:t>
      </w:r>
      <w:r>
        <w:t xml:space="preserve"> </w:t>
      </w:r>
      <w:r w:rsidR="00B113E0">
        <w:t>This model was based on the FRCC Guidebook PNVG model for Riparian Spruce Hardwood (RSH</w:t>
      </w:r>
      <w:r w:rsidR="00184796">
        <w:t>)</w:t>
      </w:r>
      <w:r w:rsidR="00B113E0">
        <w:t xml:space="preserve"> </w:t>
      </w:r>
      <w:r w:rsidR="00184796">
        <w:t>(</w:t>
      </w:r>
      <w:r w:rsidR="00B113E0">
        <w:t xml:space="preserve">Murphy and Witten 2006) and input from the experts who attended the LANDFIRE Fairbanks (Nov. 07) modeling meeting. It was refined by </w:t>
      </w:r>
      <w:r w:rsidR="00B113E0">
        <w:t xml:space="preserve">Michelle Schuman. The relative age function used in the RSH model was not used in any class except </w:t>
      </w:r>
      <w:r w:rsidR="004D50BA">
        <w:t>C</w:t>
      </w:r>
      <w:r w:rsidR="006A32AB">
        <w:t xml:space="preserve">lass </w:t>
      </w:r>
      <w:r w:rsidR="00B113E0">
        <w:t>A to comply with LANDFIRE modeling rules and the 10,000</w:t>
      </w:r>
      <w:r w:rsidR="006A32AB">
        <w:t xml:space="preserve"> </w:t>
      </w:r>
      <w:r w:rsidR="00B113E0">
        <w:t xml:space="preserve">years replacement fire was removed from </w:t>
      </w:r>
      <w:r w:rsidR="004D50BA">
        <w:t>C</w:t>
      </w:r>
      <w:r w:rsidR="00B113E0">
        <w:t>lass D. These changes did not change the model results. Because changes to the VDDT model were relatively minor</w:t>
      </w:r>
      <w:r w:rsidR="008253A8">
        <w:t>,</w:t>
      </w:r>
      <w:r w:rsidR="00B113E0">
        <w:t xml:space="preserve"> Karen Murphy and Evie Witten were retained as modelers and Michelle Schuman's name was added.</w:t>
      </w:r>
    </w:p>
    <w:p w:rsidR="00BD634E" w:rsidP="00BD634E" w:rsidRDefault="00BD634E" w14:paraId="21DC10D6" w14:textId="77777777"/>
    <w:p w:rsidR="004704E1" w:rsidP="004704E1" w:rsidRDefault="004704E1" w14:paraId="76B5DB4E" w14:textId="77777777">
      <w:pPr>
        <w:pStyle w:val="ReportSection"/>
      </w:pPr>
      <w:r>
        <w:t>Succession Classes</w:t>
      </w:r>
    </w:p>
    <w:p w:rsidR="004704E1" w:rsidP="00BD634E" w:rsidRDefault="004704E1" w14:paraId="1E29A4C5" w14:textId="77777777">
      <w:pPr>
        <w:pStyle w:val="InfoPara"/>
        <w:spacing w:before="0"/>
      </w:pP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113E0" w:rsidP="00BD634E" w:rsidRDefault="00B113E0" w14:paraId="35AEAD65" w14:textId="1D749FF8">
      <w:pPr>
        <w:pStyle w:val="InfoPara"/>
        <w:pBdr>
          <w:top w:val="single" w:color="auto" w:sz="4" w:space="1"/>
        </w:pBdr>
      </w:pPr>
      <w:r>
        <w:t>Class A</w:t>
      </w:r>
      <w:r>
        <w:tab/>
        <w:t>4</w:t>
      </w:r>
      <w:r w:rsidR="002A3B10">
        <w:tab/>
      </w:r>
      <w:r w:rsidR="002A3B10">
        <w:tab/>
      </w:r>
      <w:r w:rsidR="002A3B10">
        <w:tab/>
      </w:r>
      <w:r w:rsidR="002A3B10">
        <w:tab/>
      </w:r>
      <w:r w:rsidR="004F7795">
        <w:t>Early Development 1 - All Structures</w:t>
      </w:r>
    </w:p>
    <w:p w:rsidR="00B113E0" w:rsidP="00B113E0" w:rsidRDefault="00B113E0" w14:paraId="2F16FC61" w14:textId="77777777">
      <w:pPr>
        <w:pStyle w:val="SClassInfoPara"/>
      </w:pPr>
      <w:r>
        <w:t>Indicator Species</w:t>
      </w:r>
    </w:p>
    <w:p w:rsidR="00B113E0" w:rsidP="00B113E0" w:rsidRDefault="00B113E0" w14:paraId="1CE3D839" w14:textId="77777777">
      <w:pPr>
        <w:pStyle w:val="SClassInfoPara"/>
      </w:pPr>
      <w:r>
        <w:t>Description</w:t>
      </w:r>
    </w:p>
    <w:p w:rsidR="00B113E0" w:rsidP="00B113E0" w:rsidRDefault="00B113E0" w14:paraId="08685556" w14:textId="6068DAD3">
      <w:r>
        <w:t>This class is characterized by post disturbance regeneration (herbs, shrub regeneration, seedlings). Silt is deposited on the inside of river meanders following flood events. Flooding deposits seeds</w:t>
      </w:r>
      <w:r w:rsidR="00740977">
        <w:t>,</w:t>
      </w:r>
      <w:r>
        <w:t xml:space="preserve"> which germinate and take root. </w:t>
      </w:r>
      <w:r w:rsidRPr="006D582D">
        <w:rPr>
          <w:i/>
          <w:iCs/>
        </w:rPr>
        <w:t xml:space="preserve">Lupinus </w:t>
      </w:r>
      <w:r>
        <w:t xml:space="preserve">spp., </w:t>
      </w:r>
      <w:r w:rsidRPr="006D582D">
        <w:rPr>
          <w:i/>
          <w:iCs/>
        </w:rPr>
        <w:t xml:space="preserve">Hedysarum </w:t>
      </w:r>
      <w:r>
        <w:t xml:space="preserve">spp., </w:t>
      </w:r>
      <w:r w:rsidRPr="006D582D">
        <w:rPr>
          <w:i/>
          <w:iCs/>
        </w:rPr>
        <w:t>Equisetum</w:t>
      </w:r>
      <w:r>
        <w:t xml:space="preserve"> spp.</w:t>
      </w:r>
      <w:r w:rsidR="00740977">
        <w:t>,</w:t>
      </w:r>
      <w:r>
        <w:t xml:space="preserve"> and </w:t>
      </w:r>
      <w:r w:rsidRPr="006D582D">
        <w:rPr>
          <w:i/>
          <w:iCs/>
        </w:rPr>
        <w:t xml:space="preserve">Salix </w:t>
      </w:r>
      <w:r>
        <w:t xml:space="preserve">spp. colonize in the first year. Within five years </w:t>
      </w:r>
      <w:r w:rsidRPr="005C05B1">
        <w:rPr>
          <w:i/>
          <w:iCs/>
        </w:rPr>
        <w:t xml:space="preserve">Salix </w:t>
      </w:r>
      <w:r>
        <w:t>spp</w:t>
      </w:r>
      <w:r w:rsidR="00740977">
        <w:t>.</w:t>
      </w:r>
      <w:r>
        <w:t xml:space="preserve"> and </w:t>
      </w:r>
      <w:r w:rsidR="00BC7A4F">
        <w:t xml:space="preserve">balsam poplar </w:t>
      </w:r>
      <w:r>
        <w:t xml:space="preserve">seedlings are abundant. Plant cover is 1-2% </w:t>
      </w:r>
      <w:r w:rsidR="0034470D">
        <w:t xml:space="preserve">during the </w:t>
      </w:r>
      <w:r>
        <w:t xml:space="preserve">first year. Shrub cover increases up to 40% by the fifth year, with a diverse herbaceous layer underneath. Occasionally white spruce will germinate in large numbers on mineral soil after flooding, resulting in a dense, even-aged stand and eventual succession to </w:t>
      </w:r>
      <w:r w:rsidR="00851B3E">
        <w:t>C</w:t>
      </w:r>
      <w:r>
        <w:t xml:space="preserve">lass E (via </w:t>
      </w:r>
      <w:r w:rsidR="00851B3E">
        <w:t>C</w:t>
      </w:r>
      <w:r>
        <w:t>lass B).</w:t>
      </w:r>
    </w:p>
    <w:p w:rsidR="00EA03FB" w:rsidP="00B113E0" w:rsidRDefault="00EA03FB" w14:paraId="2696E8E8" w14:textId="77777777"/>
    <w:p>
      <w:r>
        <w:rPr>
          <w:i/>
          <w:u w:val="single"/>
        </w:rPr>
        <w:t>Maximum Tree Size Class</w:t>
      </w:r>
      <w:br/>
      <w:r>
        <w:t>Seedling/Sapling &lt;5"</w:t>
      </w:r>
    </w:p>
    <w:p w:rsidR="00B113E0" w:rsidP="006B5AF6" w:rsidRDefault="00B113E0" w14:paraId="547E13DF" w14:textId="3CF2DD18">
      <w:pPr>
        <w:pStyle w:val="InfoPara"/>
        <w:pBdr>
          <w:top w:val="single" w:color="auto" w:sz="4" w:space="1"/>
        </w:pBdr>
      </w:pPr>
      <w:r>
        <w:t>Class B</w:t>
      </w:r>
      <w:r>
        <w:tab/>
        <w:t>18</w:t>
      </w:r>
      <w:r w:rsidR="002A3B10">
        <w:tab/>
      </w:r>
      <w:r w:rsidR="002A3B10">
        <w:tab/>
      </w:r>
      <w:r w:rsidR="002A3B10">
        <w:tab/>
      </w:r>
      <w:r w:rsidR="002A3B10">
        <w:tab/>
      </w:r>
      <w:r w:rsidR="004F7795">
        <w:t>Mid Development 1 - Closed</w:t>
      </w:r>
    </w:p>
    <w:p w:rsidR="00B113E0" w:rsidP="00B113E0" w:rsidRDefault="00B113E0" w14:paraId="5E42E7B6" w14:textId="77777777">
      <w:pPr>
        <w:pStyle w:val="SClassInfoPara"/>
      </w:pPr>
      <w:r>
        <w:t>Indicator Species</w:t>
      </w:r>
    </w:p>
    <w:p w:rsidR="00B113E0" w:rsidP="00B113E0" w:rsidRDefault="00B113E0" w14:paraId="61AA50AB" w14:textId="77777777">
      <w:pPr>
        <w:pStyle w:val="SClassInfoPara"/>
      </w:pPr>
      <w:r>
        <w:t>Description</w:t>
      </w:r>
    </w:p>
    <w:p w:rsidR="00B113E0" w:rsidP="00B113E0" w:rsidRDefault="00B113E0" w14:paraId="2AD775DD" w14:textId="4C218A22">
      <w:r>
        <w:t>Tall shrubs (</w:t>
      </w:r>
      <w:r w:rsidRPr="002A5E16">
        <w:rPr>
          <w:i/>
          <w:iCs/>
        </w:rPr>
        <w:t>Salix</w:t>
      </w:r>
      <w:r>
        <w:t xml:space="preserve"> spp.</w:t>
      </w:r>
      <w:r w:rsidR="002A5E16">
        <w:t xml:space="preserve"> and</w:t>
      </w:r>
      <w:r>
        <w:t xml:space="preserve"> </w:t>
      </w:r>
      <w:r w:rsidRPr="002A5E16">
        <w:rPr>
          <w:i/>
          <w:iCs/>
        </w:rPr>
        <w:t>Alnus</w:t>
      </w:r>
      <w:r>
        <w:t xml:space="preserve"> spp.) and saplings with a closed canopy (&gt;60%). Saplings may consist of balsam poplar with white spruce in the understory (succession to </w:t>
      </w:r>
      <w:r w:rsidR="00851B3E">
        <w:t>C</w:t>
      </w:r>
      <w:r>
        <w:t xml:space="preserve">lass C), or saplings may consist of pure, even-aged spruce (succession to </w:t>
      </w:r>
      <w:r w:rsidR="00851B3E">
        <w:t>C</w:t>
      </w:r>
      <w:r>
        <w:t xml:space="preserve">lass E). Saplings overtop shrubs at 20-40yrs, when shade-intolerant pioneer shrub species decline and shade-tolerant shrubs </w:t>
      </w:r>
      <w:r w:rsidR="00BC7A4F">
        <w:t xml:space="preserve">such as </w:t>
      </w:r>
      <w:r w:rsidRPr="00BC7A4F">
        <w:rPr>
          <w:i/>
          <w:iCs/>
        </w:rPr>
        <w:t>Rosa acicularis</w:t>
      </w:r>
      <w:r>
        <w:t xml:space="preserve"> (prickly rose)</w:t>
      </w:r>
      <w:r w:rsidR="00BC7A4F">
        <w:t xml:space="preserve"> and</w:t>
      </w:r>
      <w:r>
        <w:t xml:space="preserve"> </w:t>
      </w:r>
      <w:r w:rsidRPr="00BC7A4F">
        <w:rPr>
          <w:i/>
          <w:iCs/>
        </w:rPr>
        <w:t>Viburnum edule</w:t>
      </w:r>
      <w:r>
        <w:t xml:space="preserve"> (</w:t>
      </w:r>
      <w:r w:rsidR="00740977">
        <w:t>squashberry</w:t>
      </w:r>
      <w:r>
        <w:t xml:space="preserve">) become more common and have a canopy cover </w:t>
      </w:r>
      <w:r w:rsidR="00524A9B">
        <w:t xml:space="preserve">of </w:t>
      </w:r>
      <w:r>
        <w:t>10%.</w:t>
      </w:r>
      <w:r w:rsidR="00EA03FB">
        <w:t xml:space="preserve"> </w:t>
      </w:r>
      <w:r>
        <w:t xml:space="preserve">The alternate succession pathway represents </w:t>
      </w:r>
      <w:r w:rsidR="00524A9B">
        <w:t xml:space="preserve">the </w:t>
      </w:r>
      <w:r>
        <w:t xml:space="preserve">possibility that white spruce will germinate in large numbers on mineral soil after flooding, resulting in a dense, even-aged stand. </w:t>
      </w:r>
    </w:p>
    <w:p w:rsidR="004704E1" w:rsidP="00B113E0" w:rsidRDefault="004704E1" w14:paraId="0CC1D798" w14:textId="77777777"/>
    <w:p>
      <w:r>
        <w:rPr>
          <w:i/>
          <w:u w:val="single"/>
        </w:rPr>
        <w:t>Maximum Tree Size Class</w:t>
      </w:r>
      <w:br/>
      <w:r>
        <w:t>Seedling/Sapling &lt;5"</w:t>
      </w:r>
    </w:p>
    <w:p w:rsidR="00B113E0" w:rsidP="00B113E0" w:rsidRDefault="00B113E0" w14:paraId="4D5FCF74" w14:textId="6D894A36">
      <w:pPr>
        <w:pStyle w:val="InfoPara"/>
        <w:pBdr>
          <w:top w:val="single" w:color="auto" w:sz="4" w:space="1"/>
        </w:pBdr>
      </w:pPr>
      <w:r>
        <w:t>Class C</w:t>
      </w:r>
      <w:r>
        <w:tab/>
        <w:t>40</w:t>
      </w:r>
      <w:r w:rsidR="002A3B10">
        <w:tab/>
      </w:r>
      <w:r w:rsidR="002A3B10">
        <w:tab/>
      </w:r>
      <w:r w:rsidR="002A3B10">
        <w:tab/>
      </w:r>
      <w:r w:rsidR="002A3B10">
        <w:tab/>
      </w:r>
      <w:r w:rsidR="004F7795">
        <w:t>Mid Development 1 - Open</w:t>
      </w:r>
    </w:p>
    <w:p w:rsidR="00B113E0" w:rsidP="00B113E0" w:rsidRDefault="00B113E0" w14:paraId="3E1A7F68" w14:textId="77777777">
      <w:pPr>
        <w:pStyle w:val="SClassInfoPara"/>
      </w:pPr>
      <w:r>
        <w:t>Indicator Species</w:t>
      </w:r>
    </w:p>
    <w:p w:rsidR="00B113E0" w:rsidP="00B113E0" w:rsidRDefault="00B113E0" w14:paraId="39C68782" w14:textId="77777777">
      <w:pPr>
        <w:pStyle w:val="SClassInfoPara"/>
      </w:pPr>
      <w:r>
        <w:t>Description</w:t>
      </w:r>
    </w:p>
    <w:p w:rsidR="000A4F34" w:rsidP="000A4F34" w:rsidRDefault="00B113E0" w14:paraId="72819F65" w14:textId="2529958D">
      <w:pPr>
        <w:spacing w:after="240"/>
      </w:pPr>
      <w:r>
        <w:t xml:space="preserve">Closed balsam poplar forest. Balsam poplar is the dominant overstory </w:t>
      </w:r>
      <w:r w:rsidR="005C276A">
        <w:t>species,</w:t>
      </w:r>
      <w:r>
        <w:t xml:space="preserve"> but white spruce is commonly in the understory. Shade-tolerant shrub species persist in the understory. If spruce is present, at approximately 100-150yrs the transition from balsam poplar to white spruce dominance begins (succession to </w:t>
      </w:r>
      <w:r w:rsidR="005C276A">
        <w:t>C</w:t>
      </w:r>
      <w:r>
        <w:t>lass D). If white spruce is not present</w:t>
      </w:r>
      <w:r w:rsidR="00995E90">
        <w:t>,</w:t>
      </w:r>
      <w:r>
        <w:t xml:space="preserve"> poplar persists, the stand ages</w:t>
      </w:r>
      <w:r w:rsidR="00AC3247">
        <w:t>,</w:t>
      </w:r>
      <w:r>
        <w:t xml:space="preserve"> and individual trees are lost to wind, disease</w:t>
      </w:r>
      <w:r w:rsidR="00995E90">
        <w:t>,</w:t>
      </w:r>
      <w:r>
        <w:t xml:space="preserve"> or rot. Shrub cover commonly increases as the overstory canopy declines.</w:t>
      </w:r>
    </w:p>
    <w:p>
      <w:r>
        <w:rPr>
          <w:i/>
          <w:u w:val="single"/>
        </w:rPr>
        <w:t>Maximum Tree Size Class</w:t>
      </w:r>
      <w:br/>
      <w:r>
        <w:t>Pole 5–9" (softwood)/5–11" (hardwood)</w:t>
      </w:r>
    </w:p>
    <w:p w:rsidR="00B113E0" w:rsidP="00B113E0" w:rsidRDefault="00B113E0" w14:paraId="76DF5B54" w14:textId="2A6B806C">
      <w:pPr>
        <w:pStyle w:val="InfoPara"/>
        <w:pBdr>
          <w:top w:val="single" w:color="auto" w:sz="4" w:space="1"/>
        </w:pBdr>
      </w:pPr>
      <w:r>
        <w:t>Class D</w:t>
      </w:r>
      <w:r>
        <w:tab/>
        <w:t>27</w:t>
      </w:r>
      <w:r w:rsidR="002A3B10">
        <w:tab/>
      </w:r>
      <w:r w:rsidR="002A3B10">
        <w:tab/>
      </w:r>
      <w:r w:rsidR="002A3B10">
        <w:tab/>
      </w:r>
      <w:r w:rsidR="002A3B10">
        <w:tab/>
      </w:r>
      <w:r w:rsidR="004F7795">
        <w:t>Late Development 1 - Open</w:t>
      </w:r>
    </w:p>
    <w:p w:rsidR="00B113E0" w:rsidP="00B113E0" w:rsidRDefault="00B113E0" w14:paraId="2D102C2F" w14:textId="77777777">
      <w:pPr>
        <w:pStyle w:val="SClassInfoPara"/>
      </w:pPr>
      <w:r>
        <w:t>Indicator Species</w:t>
      </w:r>
    </w:p>
    <w:p w:rsidR="00B113E0" w:rsidP="00B113E0" w:rsidRDefault="00B113E0" w14:paraId="089A1917" w14:textId="77777777">
      <w:pPr>
        <w:pStyle w:val="SClassInfoPara"/>
      </w:pPr>
      <w:r>
        <w:t>Description</w:t>
      </w:r>
    </w:p>
    <w:p w:rsidR="008D2A2C" w:rsidP="000A4F34" w:rsidRDefault="00B113E0" w14:paraId="72C3F961" w14:textId="74417124">
      <w:pPr>
        <w:spacing w:after="240"/>
      </w:pPr>
      <w:r>
        <w:t xml:space="preserve">Open white spruce forest. Spruce gains dominance over poplar and a mixed age, open stand develops. If enough young spruce establishes as poplar declines, the canopy closes again (modeled as alternate succession to </w:t>
      </w:r>
      <w:r w:rsidR="00F632FB">
        <w:t>C</w:t>
      </w:r>
      <w:r>
        <w:t>lass E). Alternatively, the stand may remain open with shrubs in the understory.</w:t>
      </w:r>
    </w:p>
    <w:p>
      <w:r>
        <w:rPr>
          <w:i/>
          <w:u w:val="single"/>
        </w:rPr>
        <w:t>Maximum Tree Size Class</w:t>
      </w:r>
      <w:br/>
      <w:r>
        <w:t>Pole 5–9" (softwood)/5–11" (hardwood)</w:t>
      </w:r>
    </w:p>
    <w:p w:rsidR="00B113E0" w:rsidP="00B113E0" w:rsidRDefault="00B113E0" w14:paraId="7B0E5655" w14:textId="792A79A3">
      <w:pPr>
        <w:pStyle w:val="InfoPara"/>
        <w:pBdr>
          <w:top w:val="single" w:color="auto" w:sz="4" w:space="1"/>
        </w:pBdr>
      </w:pPr>
      <w:r>
        <w:t>Class E</w:t>
      </w:r>
      <w:r>
        <w:tab/>
        <w:t>11</w:t>
      </w:r>
      <w:r w:rsidR="002A3B10">
        <w:tab/>
      </w:r>
      <w:r w:rsidR="002A3B10">
        <w:tab/>
      </w:r>
      <w:r w:rsidR="002A3B10">
        <w:tab/>
      </w:r>
      <w:r w:rsidR="002A3B10">
        <w:tab/>
      </w:r>
      <w:r w:rsidR="004F7795">
        <w:t>Late Development 1 - Closed</w:t>
      </w:r>
    </w:p>
    <w:p w:rsidR="00B113E0" w:rsidP="00B113E0" w:rsidRDefault="00B113E0" w14:paraId="13540FA1" w14:textId="77777777">
      <w:pPr>
        <w:pStyle w:val="SClassInfoPara"/>
      </w:pPr>
      <w:r>
        <w:t>Indicator Species</w:t>
      </w:r>
    </w:p>
    <w:p w:rsidR="00B113E0" w:rsidP="00B113E0" w:rsidRDefault="00B113E0" w14:paraId="46E6C392" w14:textId="77777777">
      <w:pPr>
        <w:pStyle w:val="SClassInfoPara"/>
      </w:pPr>
      <w:r>
        <w:t>Description</w:t>
      </w:r>
    </w:p>
    <w:p w:rsidR="00B113E0" w:rsidP="00B113E0" w:rsidRDefault="00B113E0" w14:paraId="519658C8" w14:textId="1D3CC0BC">
      <w:r>
        <w:t xml:space="preserve">Closed white spruce forest. These stands may be </w:t>
      </w:r>
      <w:proofErr w:type="gramStart"/>
      <w:r>
        <w:t>even-aged</w:t>
      </w:r>
      <w:proofErr w:type="gramEnd"/>
      <w:r w:rsidR="00CB0B8D">
        <w:t xml:space="preserve">, </w:t>
      </w:r>
      <w:r>
        <w:t xml:space="preserve">resulting from spruce establishment on mineral soil after a flood event (succession from </w:t>
      </w:r>
      <w:r w:rsidR="000E5477">
        <w:t>C</w:t>
      </w:r>
      <w:r>
        <w:t>lass B)</w:t>
      </w:r>
      <w:r w:rsidR="00CB0B8D">
        <w:t>,</w:t>
      </w:r>
      <w:r>
        <w:t xml:space="preserve"> or mixed age (succession from </w:t>
      </w:r>
      <w:r w:rsidR="004068EB">
        <w:t>C</w:t>
      </w:r>
      <w:r>
        <w:t>lass D</w:t>
      </w:r>
      <w:r w:rsidR="004068EB">
        <w:t>)</w:t>
      </w:r>
      <w:r>
        <w:t xml:space="preserve">. If succession is from </w:t>
      </w:r>
      <w:r w:rsidR="000C3136">
        <w:t>C</w:t>
      </w:r>
      <w:r>
        <w:t xml:space="preserve">lass D, occasional mature balsam poplar may persist in the overstory. As the spruce canopy closes, feathermoss becomes dominant on the forest floor, reaching 80% cover. </w:t>
      </w:r>
      <w:r w:rsidRPr="008B04CB">
        <w:rPr>
          <w:i/>
          <w:iCs/>
        </w:rPr>
        <w:t>Rosa acicularis</w:t>
      </w:r>
      <w:r>
        <w:t xml:space="preserve">, </w:t>
      </w:r>
      <w:r w:rsidRPr="008B04CB">
        <w:rPr>
          <w:i/>
          <w:iCs/>
        </w:rPr>
        <w:t>Viburnum edule</w:t>
      </w:r>
      <w:r w:rsidRPr="008B04CB" w:rsidR="00AC3247">
        <w:rPr>
          <w:i/>
          <w:iCs/>
        </w:rPr>
        <w:t>,</w:t>
      </w:r>
      <w:r>
        <w:t xml:space="preserve"> and </w:t>
      </w:r>
      <w:r w:rsidRPr="008B04CB">
        <w:rPr>
          <w:i/>
          <w:iCs/>
        </w:rPr>
        <w:t>Alnus</w:t>
      </w:r>
      <w:r>
        <w:t xml:space="preserve"> spp. may be scattered in the stand. A low shrub and herb layer may also occupy the forest floor.</w:t>
      </w:r>
    </w:p>
    <w:p w:rsidR="00B113E0" w:rsidP="00B113E0" w:rsidRDefault="00B113E0" w14:paraId="4A7AB2CC" w14:textId="77777777"/>
    <w:p>
      <w:r>
        <w:rPr>
          <w:i/>
          <w:u w:val="single"/>
        </w:rPr>
        <w:t>Maximum Tree Size Class</w:t>
      </w:r>
      <w:br/>
      <w:r>
        <w:t>Med. 9–20" (softwood)/11–20" (hardwood)</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Flooding</w:t>
      </w:r>
    </w:p>
    <w:p>
      <w:r>
        <w:t/>
      </w:r>
    </w:p>
    <w:p>
      <w:pPr>
        <w:pStyle w:val="ReportSection"/>
      </w:pPr>
      <w:r>
        <w:t>References</w:t>
      </w:r>
    </w:p>
    <w:p>
      <w:r>
        <w:t/>
      </w:r>
    </w:p>
    <w:p w:rsidR="00B113E0" w:rsidP="00B113E0" w:rsidRDefault="00B113E0" w14:paraId="48AD278E" w14:textId="77777777">
      <w:r>
        <w:t>Barney, R.J. 1971.  Wildfires in Alaska – some historical and projected effects and aspects.  In: Fire in the Northern Environment – a symposium [Fairbanks, Alaska]. P. 51-59.</w:t>
      </w:r>
    </w:p>
    <w:p w:rsidR="00B113E0" w:rsidP="00B113E0" w:rsidRDefault="00B113E0" w14:paraId="35D344A2" w14:textId="77777777"/>
    <w:p w:rsidR="00B113E0" w:rsidP="00B113E0" w:rsidRDefault="00B113E0" w14:paraId="04FCD0B9" w14:textId="77777777">
      <w:r>
        <w:t>Boggs, K. 2000. Classification of community types, successional sequences, and landscapes of the Copper River Delta, Alaska. Gen Tech. Rep. PNW-GTR-469. Portland, OR: USDA Forest Service, Pacific Northwest Research Station. 244p.</w:t>
      </w:r>
    </w:p>
    <w:p w:rsidR="00B113E0" w:rsidP="00B113E0" w:rsidRDefault="00B113E0" w14:paraId="71E002D3" w14:textId="3D7F2C62"/>
    <w:p w:rsidR="00900541" w:rsidP="00B113E0" w:rsidRDefault="00900541" w14:paraId="52D674BB" w14:textId="6D24F7AB">
      <w:r w:rsidRPr="00900541">
        <w:t>Chapin, F.S., III</w:t>
      </w:r>
      <w:r>
        <w:t>,</w:t>
      </w:r>
      <w:r w:rsidRPr="00900541">
        <w:t xml:space="preserve"> L.A. Viereck</w:t>
      </w:r>
      <w:r>
        <w:t>,</w:t>
      </w:r>
      <w:r w:rsidRPr="00900541">
        <w:t xml:space="preserve"> P.C. Adams</w:t>
      </w:r>
      <w:r>
        <w:t>,</w:t>
      </w:r>
      <w:r w:rsidRPr="00900541">
        <w:t xml:space="preserve"> K. Van Cleve</w:t>
      </w:r>
      <w:r>
        <w:t>,</w:t>
      </w:r>
      <w:r w:rsidRPr="00900541">
        <w:t xml:space="preserve"> C.L. Fastie</w:t>
      </w:r>
      <w:r>
        <w:t>,</w:t>
      </w:r>
      <w:r w:rsidRPr="00900541">
        <w:t xml:space="preserve"> R.A. Ott</w:t>
      </w:r>
      <w:r>
        <w:t>,</w:t>
      </w:r>
      <w:r w:rsidRPr="00900541">
        <w:t xml:space="preserve"> D. Mann</w:t>
      </w:r>
      <w:r>
        <w:t>,</w:t>
      </w:r>
      <w:r w:rsidRPr="00900541">
        <w:t xml:space="preserve"> and J.F. Johnstone. 2006. Successional processes in the Alaskan boreal forest. In Alaska’s Changing Boreal Forest. F.S. Chapin III, M.W. Oswood, K. Van Cleve, L.A. Viereck, and D.L. Verbyla, editors. New York, Oxford University Press. Pages 100-120.</w:t>
      </w:r>
    </w:p>
    <w:p w:rsidR="00900541" w:rsidP="00B113E0" w:rsidRDefault="00900541" w14:paraId="3E3E4E49" w14:textId="77777777"/>
    <w:p w:rsidR="00740977" w:rsidP="00B113E0" w:rsidRDefault="00740977" w14:paraId="39D94CA4" w14:textId="77777777">
      <w:r>
        <w:t>Cronan, James; McKenzie, Donald; Olson, Diana. [n.d.]. Fire regimes of the Alaska boreal forest. Draft manuscript. Portland, OR: U.S. Department of Agriculture, Forest Service, Pacific Northwest Research Station. 124 p. In cooperation with: Seattle, WA: University of Washington, School of Forest Resources; New Haven, CT: Yale School of Forestry and Environmental Studies; Moscow, ID: University of Idaho; Fairbanks, AK: U.S. Department of the Interior, Bureau of Land Management, Alaska Fire Service. Available online: http://www.frames.gov/documents/alaska/fire_history/fire_regimes_alaskan_boreal_forest_draft_gtr.zip [2012, September 4]. [85879]</w:t>
      </w:r>
    </w:p>
    <w:p w:rsidR="00740977" w:rsidP="00B113E0" w:rsidRDefault="00740977" w14:paraId="605E104F" w14:textId="77777777"/>
    <w:p w:rsidR="00B113E0" w:rsidP="00B113E0" w:rsidRDefault="00B113E0" w14:paraId="13A493A6" w14:textId="77777777">
      <w:r>
        <w:t>Duchesne L.C. and B.C.Hawkes. 2000. Fire in northern ecosystems.  In: Brown, J.K. and J.K Smith (eds.) Wildland fire in ecosystems: effects of fire on flora. Gen. Tech. Rep. RMRS-GTR-42-vol 2. Ogdon, UT: USDA Forest Service, Rocky Mountain Research Station. 257 p.</w:t>
      </w:r>
    </w:p>
    <w:p w:rsidR="00B113E0" w:rsidP="00B113E0" w:rsidRDefault="00B113E0" w14:paraId="2BC0FED4" w14:textId="77777777"/>
    <w:p w:rsidR="00740977" w:rsidP="00B113E0" w:rsidRDefault="00740977" w14:paraId="25FCD559" w14:textId="77777777">
      <w:r>
        <w:t xml:space="preserve">Edwards, Mary E.; Dunwiddie, Peter W. 1985. Dendrochronological and palynological observations on Populus balsamifera in northern Alaska, U.S.A. </w:t>
      </w:r>
      <w:proofErr w:type="gramStart"/>
      <w:r>
        <w:t>Arctic</w:t>
      </w:r>
      <w:proofErr w:type="gramEnd"/>
      <w:r>
        <w:t xml:space="preserve"> and Alpine Research. 17(3): 271-277. </w:t>
      </w:r>
    </w:p>
    <w:p w:rsidR="00740977" w:rsidP="00B113E0" w:rsidRDefault="00740977" w14:paraId="6F917200" w14:textId="77777777"/>
    <w:p w:rsidR="00740977" w:rsidP="00B113E0" w:rsidRDefault="00740977" w14:paraId="39CF4C75" w14:textId="77777777">
      <w:r>
        <w:t>Fryer, Janet L. 2014. Fire regimes of Alaskan quaking aspen and balsam poplar communities. In: Fire Effects Information System, [Online]. U.S. Department of Agriculture, Forest Service, Rocky Mountain Research Station, Missoula Fire Sciences Laboratory (Producer). Available: http://www.fs.fed.us/database/feis/fire_regimes/AK_aspen_balsam_poplar/all.html</w:t>
      </w:r>
    </w:p>
    <w:p w:rsidR="00740977" w:rsidP="00B113E0" w:rsidRDefault="00740977" w14:paraId="60B4F20E" w14:textId="77777777"/>
    <w:p w:rsidR="00B113E0" w:rsidP="00B113E0" w:rsidRDefault="00B113E0" w14:paraId="18B6DCDA" w14:textId="77777777">
      <w:r>
        <w:t xml:space="preserve">Heinselman, M.L. 1981.  Fire and succession in the conifer forests of northern North America. In:  West, D.C., H.H. Shugart, and D.B. Botkin.  Forest succession: concepts and application. Springer-Verlag, New York.  Chapter 23. </w:t>
      </w:r>
    </w:p>
    <w:p w:rsidR="00B113E0" w:rsidP="00B113E0" w:rsidRDefault="00B113E0" w14:paraId="3A4361E6" w14:textId="77777777"/>
    <w:p w:rsidR="00740977" w:rsidP="00B113E0" w:rsidRDefault="00740977" w14:paraId="460F9211" w14:textId="77777777">
      <w:r>
        <w:t>Hu, Feng Sheng; Brubaker, Linda B.; Gavin, Daniel G.; Higuera, Philip E.; Lynch, Jason A.; Rupp, T. Scott; Tinner, Willy. 2006. How climate and vegetation influence the fire regime of the Alaskan boreal biome: the Holocene perspective. Mitigation and Adaptation Strategies for Global Change. 11(4): 829-846.</w:t>
      </w:r>
    </w:p>
    <w:p w:rsidR="00740977" w:rsidP="00B113E0" w:rsidRDefault="00740977" w14:paraId="5E636406" w14:textId="77777777"/>
    <w:p w:rsidR="00740977" w:rsidP="00B113E0" w:rsidRDefault="00740977" w14:paraId="26012FD2" w14:textId="77777777">
      <w:r>
        <w:t xml:space="preserve">Krause, H. H.; Rieger, S.; Wilde, S. A. 1959. Soils and forest growth on different aspects in the Tanana watershed of interior Alaska. Ecology. 40(3): 492-495. </w:t>
      </w:r>
    </w:p>
    <w:p w:rsidR="00740977" w:rsidP="00B113E0" w:rsidRDefault="00740977" w14:paraId="16944583" w14:textId="77777777"/>
    <w:p w:rsidR="00740977" w:rsidP="00B113E0" w:rsidRDefault="00740977" w14:paraId="513B6B3C" w14:textId="77777777">
      <w:r>
        <w:t xml:space="preserve">Lynch, Jason A.; Hu, Feng Sheng. 2003. Does vegetation mediate the fire-climate relationships in boreal regions? In: 88th annual meeting of the Ecological Society of America held jointly with the International Society for Ecological Modeling, North American Chapter; 2003 August 3-8; Savannah, GA. Washington, DC: Ecological Society of America: 213. Abstract. </w:t>
      </w:r>
    </w:p>
    <w:p w:rsidR="00740977" w:rsidP="00B113E0" w:rsidRDefault="00740977" w14:paraId="6F8DC2EC" w14:textId="77777777"/>
    <w:p w:rsidR="00F063D8" w:rsidP="00B113E0" w:rsidRDefault="00F063D8" w14:paraId="2C7BC7AE" w14:textId="77777777">
      <w:r>
        <w:t xml:space="preserve">Mann, Daniel H.; Plug, Lawrence J. 1999. Vegetation and soil development at an upland taiga site, Alaska. Ecoscience. 6(2): 272-285. </w:t>
      </w:r>
    </w:p>
    <w:p w:rsidR="00F063D8" w:rsidP="00B113E0" w:rsidRDefault="00F063D8" w14:paraId="23A82013" w14:textId="77777777"/>
    <w:p w:rsidR="00B113E0" w:rsidP="00B113E0" w:rsidRDefault="00B113E0" w14:paraId="03E345C8" w14:textId="77777777">
      <w:r>
        <w:t>Murphy, K.A. and E. Witten. 2006. Riparian Spruce Hardwood. In Fire Regime Condition Class (FRCC) Interagency Guidebook Reference Conditions. Available at www.frcc.gov.</w:t>
      </w:r>
    </w:p>
    <w:p w:rsidR="00B113E0" w:rsidP="00B113E0" w:rsidRDefault="00B113E0" w14:paraId="40F8CB12" w14:textId="77777777"/>
    <w:p w:rsidR="00B113E0" w:rsidP="00B113E0" w:rsidRDefault="00B113E0" w14:paraId="23933AF9" w14:textId="77777777">
      <w:r>
        <w:t>NatureServe. 2008. International Ecological Classification Standard: Terrestrial Ecological Classifications. Draft Ecological Systems Description for Alaska Boreal and Sub-boreal Regions.</w:t>
      </w:r>
    </w:p>
    <w:p w:rsidR="00B113E0" w:rsidP="00B113E0" w:rsidRDefault="00B113E0" w14:paraId="624A163B" w14:textId="77777777"/>
    <w:p w:rsidR="00B113E0" w:rsidP="00B113E0" w:rsidRDefault="00B113E0" w14:paraId="4F43C2FA" w14:textId="77777777">
      <w:r>
        <w:t>Personal communication experts’ workshop, March 2-4</w:t>
      </w:r>
      <w:proofErr w:type="gramStart"/>
      <w:r>
        <w:t xml:space="preserve"> 2004</w:t>
      </w:r>
      <w:proofErr w:type="gramEnd"/>
      <w:r>
        <w:t xml:space="preserve">.  Fire Regime Condition Class (FRCC) interagency experts’ workshop to develop and review Potential Natural Vegetation (PNV) groups for Alaska.  Anchorage, AK.  </w:t>
      </w:r>
    </w:p>
    <w:p w:rsidR="00B113E0" w:rsidP="00B113E0" w:rsidRDefault="00B113E0" w14:paraId="759BE016" w14:textId="77777777"/>
    <w:p w:rsidR="00B113E0" w:rsidP="00B113E0" w:rsidRDefault="00B113E0" w14:paraId="77F0A213" w14:textId="77777777">
      <w:r>
        <w:t xml:space="preserve">Rowe, J.S., Bergsteinsson, J. L. , Padbury, G. A.,and R. Hermesh. 1974. Fire studies in the Mackenzie Valley.  ALUR Report 73-74-61.  Arctic Land Use Research Program, Department of Indian Affairs and Human Development, Ottawa, Canada. 123 p. </w:t>
      </w:r>
    </w:p>
    <w:p w:rsidR="00B113E0" w:rsidP="00B113E0" w:rsidRDefault="00B113E0" w14:paraId="6586BD4B" w14:textId="77777777"/>
    <w:p w:rsidR="00B113E0" w:rsidP="00B113E0" w:rsidRDefault="00B113E0" w14:paraId="7D18D2F7" w14:textId="77777777">
      <w:r>
        <w:t>Scott, R.W. 1974. Successional patterns on moraines and outwash of the Frederika Glacier, Alaska. In: Bushnell, V.C.; Marcus, M.G., eds. Icefield ranges research project scientific results. New York: American Geographical Society: 319-329. Vol. 4.</w:t>
      </w:r>
    </w:p>
    <w:p w:rsidR="00B113E0" w:rsidP="00B113E0" w:rsidRDefault="00B113E0" w14:paraId="3C623D13" w14:textId="77777777"/>
    <w:p w:rsidR="00B113E0" w:rsidP="00B113E0" w:rsidRDefault="00B113E0" w14:paraId="1FCDD8BF" w14:textId="77777777">
      <w:r>
        <w:t>Shephard, M. E. 1995. Plant community ecology and classification of the Yakutat Foreland, Alaska. R10-TP-56.</w:t>
      </w:r>
    </w:p>
    <w:p w:rsidR="00B113E0" w:rsidP="00B113E0" w:rsidRDefault="00B113E0" w14:paraId="3700DEDF" w14:textId="77777777"/>
    <w:p w:rsidR="00B113E0" w:rsidP="00B113E0" w:rsidRDefault="00B113E0" w14:paraId="3772CF6E" w14:textId="77777777">
      <w:r>
        <w:t xml:space="preserve">Thilenius, J.F. 1990. Woody plant succession on earthquake-uplifted coastal wetlands of the Copper River Delta, Alaska.  Forest Ecology and Management 33/34: 439-462. </w:t>
      </w:r>
    </w:p>
    <w:p w:rsidR="00B113E0" w:rsidP="00B113E0" w:rsidRDefault="00B113E0" w14:paraId="4A8C6E33" w14:textId="77777777"/>
    <w:p w:rsidR="00B113E0" w:rsidP="00B113E0" w:rsidRDefault="00B113E0" w14:paraId="086C800F" w14:textId="77777777">
      <w:r>
        <w:t xml:space="preserve">Viereck L.A. 1966. Plant succession and soil development on gravel outwash on the Muldrow Glacier, Alaska. Ecological Monographs. 36(3):181-199. </w:t>
      </w:r>
    </w:p>
    <w:p w:rsidR="003808BF" w:rsidP="00B113E0" w:rsidRDefault="003808BF" w14:paraId="6D88A4CC" w14:textId="77777777"/>
    <w:p w:rsidR="00B113E0" w:rsidP="00B113E0" w:rsidRDefault="00B113E0" w14:paraId="5FEFD79F" w14:textId="33876DB6">
      <w:r>
        <w:t>Viereck, L. A.  1973.  Ecological effects of river flooding and forest fires on permafrost in the taiga of Alaska.  In:  Permafrost - - The North American Contribution to the Second International Conference.  National Academy of Sciences, Washington, DC.  60-67 p.</w:t>
      </w:r>
    </w:p>
    <w:p w:rsidRPr="00A43E41" w:rsidR="004D5F12" w:rsidP="00B113E0" w:rsidRDefault="004D5F12" w14:paraId="0F2FD112"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4C99" w:rsidRDefault="00644C99" w14:paraId="7FE8A6E3" w14:textId="77777777">
      <w:r>
        <w:separator/>
      </w:r>
    </w:p>
  </w:endnote>
  <w:endnote w:type="continuationSeparator" w:id="0">
    <w:p w:rsidR="00644C99" w:rsidRDefault="00644C99" w14:paraId="7EF1888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11A9" w:rsidP="00B113E0" w:rsidRDefault="009611A9" w14:paraId="1E164333"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4C99" w:rsidRDefault="00644C99" w14:paraId="548B72AC" w14:textId="77777777">
      <w:r>
        <w:separator/>
      </w:r>
    </w:p>
  </w:footnote>
  <w:footnote w:type="continuationSeparator" w:id="0">
    <w:p w:rsidR="00644C99" w:rsidRDefault="00644C99" w14:paraId="1A0E7B3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11A9" w:rsidP="00B113E0" w:rsidRDefault="009611A9" w14:paraId="244B4164"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02477764">
    <w:abstractNumId w:val="1"/>
  </w:num>
  <w:num w:numId="2" w16cid:durableId="1890023263">
    <w:abstractNumId w:val="0"/>
  </w:num>
  <w:num w:numId="3" w16cid:durableId="20776317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7E5272"/>
    <w:pPr>
      <w:ind w:left="720"/>
    </w:pPr>
    <w:rPr>
      <w:rFonts w:ascii="Calibri" w:hAnsi="Calibri" w:eastAsia="Calibri"/>
      <w:sz w:val="22"/>
      <w:szCs w:val="22"/>
    </w:rPr>
  </w:style>
  <w:style w:type="character" w:styleId="Hyperlink">
    <w:name w:val="Hyperlink"/>
    <w:rsid w:val="007E5272"/>
    <w:rPr>
      <w:color w:val="0000FF"/>
      <w:u w:val="single"/>
    </w:rPr>
  </w:style>
  <w:style w:type="character" w:styleId="CommentReference">
    <w:name w:val="annotation reference"/>
    <w:basedOn w:val="DefaultParagraphFont"/>
    <w:uiPriority w:val="99"/>
    <w:semiHidden/>
    <w:unhideWhenUsed/>
    <w:rsid w:val="00E0508D"/>
    <w:rPr>
      <w:sz w:val="16"/>
      <w:szCs w:val="16"/>
    </w:rPr>
  </w:style>
  <w:style w:type="paragraph" w:styleId="CommentText">
    <w:name w:val="annotation text"/>
    <w:basedOn w:val="Normal"/>
    <w:link w:val="CommentTextChar"/>
    <w:uiPriority w:val="99"/>
    <w:semiHidden/>
    <w:unhideWhenUsed/>
    <w:rsid w:val="00E0508D"/>
    <w:rPr>
      <w:sz w:val="20"/>
      <w:szCs w:val="20"/>
    </w:rPr>
  </w:style>
  <w:style w:type="character" w:styleId="CommentTextChar" w:customStyle="1">
    <w:name w:val="Comment Text Char"/>
    <w:basedOn w:val="DefaultParagraphFont"/>
    <w:link w:val="CommentText"/>
    <w:uiPriority w:val="99"/>
    <w:semiHidden/>
    <w:rsid w:val="00E0508D"/>
  </w:style>
  <w:style w:type="paragraph" w:styleId="CommentSubject">
    <w:name w:val="annotation subject"/>
    <w:basedOn w:val="CommentText"/>
    <w:next w:val="CommentText"/>
    <w:link w:val="CommentSubjectChar"/>
    <w:uiPriority w:val="99"/>
    <w:semiHidden/>
    <w:unhideWhenUsed/>
    <w:rsid w:val="00E0508D"/>
    <w:rPr>
      <w:b/>
      <w:bCs/>
    </w:rPr>
  </w:style>
  <w:style w:type="character" w:styleId="CommentSubjectChar" w:customStyle="1">
    <w:name w:val="Comment Subject Char"/>
    <w:basedOn w:val="CommentTextChar"/>
    <w:link w:val="CommentSubject"/>
    <w:uiPriority w:val="99"/>
    <w:semiHidden/>
    <w:rsid w:val="00E0508D"/>
    <w:rPr>
      <w:b/>
      <w:bCs/>
    </w:rPr>
  </w:style>
  <w:style w:type="paragraph" w:styleId="BalloonText">
    <w:name w:val="Balloon Text"/>
    <w:basedOn w:val="Normal"/>
    <w:link w:val="BalloonTextChar"/>
    <w:uiPriority w:val="99"/>
    <w:semiHidden/>
    <w:unhideWhenUsed/>
    <w:rsid w:val="00E0508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0508D"/>
    <w:rPr>
      <w:rFonts w:ascii="Segoe UI" w:hAnsi="Segoe UI" w:cs="Segoe UI"/>
      <w:sz w:val="18"/>
      <w:szCs w:val="18"/>
    </w:rPr>
  </w:style>
  <w:style w:type="character" w:styleId="Emphasis">
    <w:name w:val="Emphasis"/>
    <w:basedOn w:val="DefaultParagraphFont"/>
    <w:uiPriority w:val="20"/>
    <w:qFormat/>
    <w:rsid w:val="00F063D8"/>
    <w:rPr>
      <w:i/>
      <w:iCs/>
    </w:rPr>
  </w:style>
  <w:style w:type="table" w:styleId="TableGrid">
    <w:name w:val="Table Grid"/>
    <w:basedOn w:val="TableNormal"/>
    <w:uiPriority w:val="59"/>
    <w:rsid w:val="00B1765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4A1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79773">
      <w:bodyDiv w:val="1"/>
      <w:marLeft w:val="0"/>
      <w:marRight w:val="0"/>
      <w:marTop w:val="0"/>
      <w:marBottom w:val="0"/>
      <w:divBdr>
        <w:top w:val="none" w:sz="0" w:space="0" w:color="auto"/>
        <w:left w:val="none" w:sz="0" w:space="0" w:color="auto"/>
        <w:bottom w:val="none" w:sz="0" w:space="0" w:color="auto"/>
        <w:right w:val="none" w:sz="0" w:space="0" w:color="auto"/>
      </w:divBdr>
    </w:div>
    <w:div w:id="1650478658">
      <w:bodyDiv w:val="1"/>
      <w:marLeft w:val="0"/>
      <w:marRight w:val="0"/>
      <w:marTop w:val="0"/>
      <w:marBottom w:val="0"/>
      <w:divBdr>
        <w:top w:val="none" w:sz="0" w:space="0" w:color="auto"/>
        <w:left w:val="none" w:sz="0" w:space="0" w:color="auto"/>
        <w:bottom w:val="none" w:sz="0" w:space="0" w:color="auto"/>
        <w:right w:val="none" w:sz="0" w:space="0" w:color="auto"/>
      </w:divBdr>
    </w:div>
    <w:div w:id="1988001434">
      <w:bodyDiv w:val="1"/>
      <w:marLeft w:val="0"/>
      <w:marRight w:val="0"/>
      <w:marTop w:val="0"/>
      <w:marBottom w:val="0"/>
      <w:divBdr>
        <w:top w:val="none" w:sz="0" w:space="0" w:color="auto"/>
        <w:left w:val="none" w:sz="0" w:space="0" w:color="auto"/>
        <w:bottom w:val="none" w:sz="0" w:space="0" w:color="auto"/>
        <w:right w:val="none" w:sz="0" w:space="0" w:color="auto"/>
      </w:divBdr>
    </w:div>
    <w:div w:id="2004314608">
      <w:bodyDiv w:val="1"/>
      <w:marLeft w:val="0"/>
      <w:marRight w:val="0"/>
      <w:marTop w:val="0"/>
      <w:marBottom w:val="0"/>
      <w:divBdr>
        <w:top w:val="none" w:sz="0" w:space="0" w:color="auto"/>
        <w:left w:val="none" w:sz="0" w:space="0" w:color="auto"/>
        <w:bottom w:val="none" w:sz="0" w:space="0" w:color="auto"/>
        <w:right w:val="none" w:sz="0" w:space="0" w:color="auto"/>
      </w:divBdr>
    </w:div>
    <w:div w:id="212646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61</revision>
  <lastPrinted>2015-09-11T19:35:00.0000000Z</lastPrinted>
  <dcterms:created xsi:type="dcterms:W3CDTF">2022-04-19T20:39:00.0000000Z</dcterms:created>
  <dcterms:modified xsi:type="dcterms:W3CDTF">2024-11-02T16:19:14.4666878Z</dcterms:modified>
</coreProperties>
</file>