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2E18" w:rsidP="00762E18" w:rsidRDefault="00762E18" w14:paraId="422ACD8E" w14:textId="38DF6647">
      <w:pPr>
        <w:pStyle w:val="BpSTitle"/>
      </w:pPr>
      <w:r>
        <w:t>16160</w:t>
      </w:r>
    </w:p>
    <w:p w:rsidR="00762E18" w:rsidP="00762E18" w:rsidRDefault="00762E18" w14:paraId="7F1CA0B7" w14:textId="77777777">
      <w:pPr>
        <w:pStyle w:val="BpSTitle"/>
      </w:pPr>
      <w:r>
        <w:t>Western North American Boreal Riparian Stringer Forest and Shrubland</w:t>
      </w:r>
    </w:p>
    <w:p w:rsidR="00762E18" w:rsidP="00762E18" w:rsidRDefault="00762E18" w14:paraId="084E8E69" w14:textId="77777777">
      <w:r>
        <w:t>BpS Model/Description Version: Nov. 2024</w:t>
      </w:r>
      <w:r>
        <w:tab/>
      </w:r>
      <w:r>
        <w:tab/>
      </w:r>
      <w:r>
        <w:tab/>
      </w:r>
      <w:r>
        <w:tab/>
      </w:r>
      <w:r>
        <w:tab/>
      </w:r>
      <w:r>
        <w:tab/>
      </w:r>
      <w:r>
        <w:tab/>
      </w:r>
    </w:p>
    <w:p w:rsidR="00762E18" w:rsidP="00762E18" w:rsidRDefault="00762E18" w14:paraId="48BA046C" w14:textId="77777777"/>
    <w:p w:rsidR="000626D1" w:rsidP="00762E18" w:rsidRDefault="000626D1" w14:paraId="5FA56AB8" w14:textId="2339F62C">
      <w:pPr>
        <w:pStyle w:val="InfoPara"/>
      </w:pPr>
      <w:r>
        <w:t xml:space="preserve">Reviewer: </w:t>
      </w:r>
      <w:r w:rsidRPr="000626D1">
        <w:rPr>
          <w:b w:val="0"/>
          <w:bCs/>
        </w:rPr>
        <w:t>Ilana Abrahamson</w:t>
      </w:r>
      <w:r w:rsidR="00537F12">
        <w:rPr>
          <w:b w:val="0"/>
          <w:bCs/>
        </w:rPr>
        <w:t>, Beth Schulz, Blaine Spellman</w:t>
      </w:r>
    </w:p>
    <w:p w:rsidR="00762E18" w:rsidP="00762E18" w:rsidRDefault="00762E18" w14:paraId="44BF0C6F" w14:textId="3715F003">
      <w:pPr>
        <w:pStyle w:val="InfoPara"/>
      </w:pPr>
      <w:r>
        <w:t>Vegetation Type</w:t>
      </w:r>
    </w:p>
    <w:p w:rsidR="00762E18" w:rsidP="00762E18" w:rsidRDefault="00C13AE0" w14:paraId="704CC7AD" w14:textId="38C4B027">
      <w:r>
        <w:t>Forest and Woodland</w:t>
      </w:r>
    </w:p>
    <w:p w:rsidR="00762E18" w:rsidP="00762E18" w:rsidRDefault="00762E18" w14:paraId="4C953162" w14:textId="77777777">
      <w:pPr>
        <w:pStyle w:val="InfoPara"/>
      </w:pPr>
      <w:r>
        <w:t>Map Zones</w:t>
      </w:r>
    </w:p>
    <w:p w:rsidR="009B746A" w:rsidP="009B746A" w:rsidRDefault="009B746A" w14:paraId="5F8973C9" w14:textId="77777777">
      <w:pPr>
        <w:rPr>
          <w:rFonts w:ascii="Calibri" w:hAnsi="Calibri" w:cs="Calibri"/>
          <w:color w:val="000000"/>
          <w:sz w:val="22"/>
          <w:szCs w:val="22"/>
        </w:rPr>
      </w:pPr>
      <w:r>
        <w:rPr>
          <w:rFonts w:ascii="Calibri" w:hAnsi="Calibri" w:cs="Calibri"/>
          <w:color w:val="000000"/>
          <w:sz w:val="22"/>
          <w:szCs w:val="22"/>
        </w:rPr>
        <w:t>70, 71, 72, 73, 74, 75, 76, 77, 78, 80</w:t>
      </w:r>
    </w:p>
    <w:p w:rsidR="00762E18" w:rsidP="00762E18" w:rsidRDefault="00762E18" w14:paraId="5D9D178D" w14:textId="77777777">
      <w:pPr>
        <w:pStyle w:val="InfoPara"/>
      </w:pPr>
      <w:r>
        <w:t>Geographic Range</w:t>
      </w:r>
    </w:p>
    <w:p w:rsidR="00762E18" w:rsidP="00762E18" w:rsidRDefault="00762E18" w14:paraId="6E9D6D96" w14:textId="71DBCE81">
      <w:r>
        <w:t xml:space="preserve">This </w:t>
      </w:r>
      <w:r w:rsidR="004C2358">
        <w:t>Biophysical Setting (BpS)</w:t>
      </w:r>
      <w:r>
        <w:t xml:space="preserve"> occurs along streams throughout the boreal and sub-boreal regions of AK.</w:t>
      </w:r>
    </w:p>
    <w:p w:rsidR="00762E18" w:rsidP="004C2358" w:rsidRDefault="00762E18" w14:paraId="28820CE1" w14:textId="77777777">
      <w:pPr>
        <w:pStyle w:val="InfoPara"/>
        <w:spacing w:after="0"/>
      </w:pPr>
      <w:r>
        <w:t>Biophysical Site Description</w:t>
      </w:r>
    </w:p>
    <w:p w:rsidRPr="00B0591E" w:rsidR="004240F0" w:rsidP="004C2358" w:rsidRDefault="00762E18" w14:paraId="5DDEEE5E" w14:textId="7A636E34">
      <w:pPr>
        <w:pStyle w:val="pf0"/>
        <w:spacing w:before="0" w:beforeAutospacing="0"/>
      </w:pPr>
      <w:r>
        <w:t>Th</w:t>
      </w:r>
      <w:r w:rsidR="004C2358">
        <w:t xml:space="preserve">is BpS </w:t>
      </w:r>
      <w:r>
        <w:t>is found as a narrow band of vegetation along streams in low gradient and low volume drainages (NatureServe 2008). Although</w:t>
      </w:r>
      <w:r w:rsidR="00F94BA4">
        <w:t xml:space="preserve"> </w:t>
      </w:r>
      <w:r>
        <w:t xml:space="preserve">seasonal overbank flooding may occur, it generally does not result in shifting channels or gravel bar formation (NatureServe 2008). The well-drained soils have </w:t>
      </w:r>
      <w:r w:rsidR="00F94BA4">
        <w:t xml:space="preserve">thin to </w:t>
      </w:r>
      <w:r>
        <w:t>moderately thick organic horizons at the surface (indicative of infrequent flooding), are strongly acidic, lack permafrost, and have deep water tables (Jorgenson et al. 1</w:t>
      </w:r>
      <w:r w:rsidRPr="00B0591E">
        <w:t>999).</w:t>
      </w:r>
      <w:r w:rsidRPr="00B0591E" w:rsidR="004240F0">
        <w:t xml:space="preserve"> </w:t>
      </w:r>
      <w:r w:rsidRPr="00B0591E" w:rsidR="004240F0">
        <w:rPr>
          <w:rStyle w:val="cf01"/>
          <w:rFonts w:ascii="Times New Roman" w:hAnsi="Times New Roman" w:cs="Times New Roman"/>
          <w:sz w:val="24"/>
          <w:szCs w:val="24"/>
        </w:rPr>
        <w:t>Drainageway</w:t>
      </w:r>
      <w:r w:rsidR="000963E0">
        <w:rPr>
          <w:rStyle w:val="cf01"/>
          <w:rFonts w:ascii="Times New Roman" w:hAnsi="Times New Roman" w:cs="Times New Roman"/>
          <w:sz w:val="24"/>
          <w:szCs w:val="24"/>
        </w:rPr>
        <w:t>s</w:t>
      </w:r>
      <w:r w:rsidRPr="00B0591E" w:rsidR="004240F0">
        <w:rPr>
          <w:rStyle w:val="cf01"/>
          <w:rFonts w:ascii="Times New Roman" w:hAnsi="Times New Roman" w:cs="Times New Roman"/>
          <w:sz w:val="24"/>
          <w:szCs w:val="24"/>
        </w:rPr>
        <w:t>/small order streams on steep gradients in the mountains tends to have gravelly substrates while water bodies</w:t>
      </w:r>
      <w:r w:rsidR="000963E0">
        <w:rPr>
          <w:rStyle w:val="cf01"/>
          <w:rFonts w:ascii="Times New Roman" w:hAnsi="Times New Roman" w:cs="Times New Roman"/>
          <w:sz w:val="24"/>
          <w:szCs w:val="24"/>
        </w:rPr>
        <w:t xml:space="preserve"> occurring</w:t>
      </w:r>
      <w:r w:rsidRPr="00B0591E" w:rsidR="004240F0">
        <w:rPr>
          <w:rStyle w:val="cf01"/>
          <w:rFonts w:ascii="Times New Roman" w:hAnsi="Times New Roman" w:cs="Times New Roman"/>
          <w:sz w:val="24"/>
          <w:szCs w:val="24"/>
        </w:rPr>
        <w:t xml:space="preserve"> on low sloping areas (like in rolling boreal hills or plains) tend to be silty. </w:t>
      </w:r>
    </w:p>
    <w:p w:rsidR="00762E18" w:rsidP="00B0591E" w:rsidRDefault="004240F0" w14:paraId="2034D11B" w14:textId="35574D1A">
      <w:pPr>
        <w:pStyle w:val="pf0"/>
      </w:pPr>
      <w:r w:rsidRPr="00B0591E">
        <w:rPr>
          <w:rStyle w:val="cf01"/>
          <w:rFonts w:ascii="Times New Roman" w:hAnsi="Times New Roman" w:cs="Times New Roman"/>
          <w:sz w:val="24"/>
          <w:szCs w:val="24"/>
        </w:rPr>
        <w:t xml:space="preserve">The steeper gradient-gravelly drainages with dry soils tend to be </w:t>
      </w:r>
      <w:r w:rsidRPr="00B0591E">
        <w:rPr>
          <w:rStyle w:val="cf01"/>
          <w:rFonts w:ascii="Times New Roman" w:hAnsi="Times New Roman" w:cs="Times New Roman"/>
          <w:i/>
          <w:iCs/>
          <w:sz w:val="24"/>
          <w:szCs w:val="24"/>
        </w:rPr>
        <w:t xml:space="preserve">Alnus </w:t>
      </w:r>
      <w:r w:rsidRPr="00B0591E">
        <w:rPr>
          <w:rStyle w:val="cf01"/>
          <w:rFonts w:ascii="Times New Roman" w:hAnsi="Times New Roman" w:cs="Times New Roman"/>
          <w:sz w:val="24"/>
          <w:szCs w:val="24"/>
        </w:rPr>
        <w:t xml:space="preserve">dominant (Cryorthents). The steeper-gradient-gravelly drainages with wet soils tend to be </w:t>
      </w:r>
      <w:r w:rsidRPr="00B0591E">
        <w:rPr>
          <w:rStyle w:val="cf01"/>
          <w:rFonts w:ascii="Times New Roman" w:hAnsi="Times New Roman" w:cs="Times New Roman"/>
          <w:i/>
          <w:iCs/>
          <w:sz w:val="24"/>
          <w:szCs w:val="24"/>
        </w:rPr>
        <w:t>Salix pulchra-Vacinnium</w:t>
      </w:r>
      <w:r w:rsidRPr="00B0591E">
        <w:rPr>
          <w:rStyle w:val="cf01"/>
          <w:rFonts w:ascii="Times New Roman" w:hAnsi="Times New Roman" w:cs="Times New Roman"/>
          <w:sz w:val="24"/>
          <w:szCs w:val="24"/>
        </w:rPr>
        <w:t xml:space="preserve">-sedge dominant (Cryaquents). The low-gradient silty drainages tend to be </w:t>
      </w:r>
      <w:r w:rsidRPr="00B0591E" w:rsidR="000729DD">
        <w:rPr>
          <w:rStyle w:val="cf01"/>
          <w:rFonts w:ascii="Times New Roman" w:hAnsi="Times New Roman" w:cs="Times New Roman"/>
          <w:i/>
          <w:iCs/>
          <w:sz w:val="24"/>
          <w:szCs w:val="24"/>
        </w:rPr>
        <w:t>Picea glauca</w:t>
      </w:r>
      <w:r w:rsidRPr="00B0591E">
        <w:rPr>
          <w:rStyle w:val="cf01"/>
          <w:rFonts w:ascii="Times New Roman" w:hAnsi="Times New Roman" w:cs="Times New Roman"/>
          <w:sz w:val="24"/>
          <w:szCs w:val="24"/>
        </w:rPr>
        <w:t xml:space="preserve"> dominant on drier soils</w:t>
      </w:r>
      <w:r w:rsidRPr="00B0591E" w:rsidR="000729DD">
        <w:rPr>
          <w:rStyle w:val="cf01"/>
          <w:rFonts w:ascii="Times New Roman" w:hAnsi="Times New Roman" w:cs="Times New Roman"/>
          <w:sz w:val="24"/>
          <w:szCs w:val="24"/>
        </w:rPr>
        <w:t xml:space="preserve">, and on </w:t>
      </w:r>
      <w:r w:rsidRPr="00B0591E">
        <w:rPr>
          <w:rStyle w:val="cf01"/>
          <w:rFonts w:ascii="Times New Roman" w:hAnsi="Times New Roman" w:cs="Times New Roman"/>
          <w:sz w:val="24"/>
          <w:szCs w:val="24"/>
        </w:rPr>
        <w:t xml:space="preserve">Aquorthels </w:t>
      </w:r>
      <w:r w:rsidRPr="00B0591E" w:rsidR="000729DD">
        <w:rPr>
          <w:rStyle w:val="cf01"/>
          <w:rFonts w:ascii="Times New Roman" w:hAnsi="Times New Roman" w:cs="Times New Roman"/>
          <w:sz w:val="24"/>
          <w:szCs w:val="24"/>
        </w:rPr>
        <w:t>(</w:t>
      </w:r>
      <w:r w:rsidRPr="00B0591E">
        <w:rPr>
          <w:rStyle w:val="cf01"/>
          <w:rFonts w:ascii="Times New Roman" w:hAnsi="Times New Roman" w:cs="Times New Roman"/>
          <w:sz w:val="24"/>
          <w:szCs w:val="24"/>
        </w:rPr>
        <w:t>moist permafrost soils)</w:t>
      </w:r>
      <w:r w:rsidRPr="00B0591E" w:rsidR="000729DD">
        <w:rPr>
          <w:rStyle w:val="cf01"/>
          <w:rFonts w:ascii="Times New Roman" w:hAnsi="Times New Roman" w:cs="Times New Roman"/>
          <w:sz w:val="24"/>
          <w:szCs w:val="24"/>
        </w:rPr>
        <w:t>,</w:t>
      </w:r>
      <w:r w:rsidRPr="00B0591E">
        <w:rPr>
          <w:rStyle w:val="cf01"/>
          <w:rFonts w:ascii="Times New Roman" w:hAnsi="Times New Roman" w:cs="Times New Roman"/>
          <w:sz w:val="24"/>
          <w:szCs w:val="24"/>
        </w:rPr>
        <w:t xml:space="preserve"> </w:t>
      </w:r>
      <w:r w:rsidRPr="00B0591E" w:rsidR="000729DD">
        <w:rPr>
          <w:rStyle w:val="cf01"/>
          <w:rFonts w:ascii="Times New Roman" w:hAnsi="Times New Roman" w:cs="Times New Roman"/>
          <w:i/>
          <w:iCs/>
          <w:sz w:val="24"/>
          <w:szCs w:val="24"/>
        </w:rPr>
        <w:t>Picea mariana</w:t>
      </w:r>
      <w:r w:rsidRPr="009E4ABA" w:rsidR="000729DD">
        <w:rPr>
          <w:rStyle w:val="cf01"/>
          <w:rFonts w:ascii="Times New Roman" w:hAnsi="Times New Roman" w:cs="Times New Roman"/>
          <w:sz w:val="24"/>
          <w:szCs w:val="24"/>
        </w:rPr>
        <w:t>-dominated</w:t>
      </w:r>
      <w:r w:rsidRPr="00B0591E" w:rsidR="000729DD">
        <w:rPr>
          <w:rStyle w:val="cf01"/>
          <w:rFonts w:ascii="Times New Roman" w:hAnsi="Times New Roman" w:cs="Times New Roman"/>
          <w:i/>
          <w:iCs/>
          <w:sz w:val="24"/>
          <w:szCs w:val="24"/>
        </w:rPr>
        <w:t xml:space="preserve"> </w:t>
      </w:r>
      <w:r w:rsidRPr="00B0591E">
        <w:rPr>
          <w:rStyle w:val="cf01"/>
          <w:rFonts w:ascii="Times New Roman" w:hAnsi="Times New Roman" w:cs="Times New Roman"/>
          <w:sz w:val="24"/>
          <w:szCs w:val="24"/>
        </w:rPr>
        <w:t>communities</w:t>
      </w:r>
      <w:r w:rsidRPr="00B0591E" w:rsidR="000729DD">
        <w:rPr>
          <w:rStyle w:val="cf01"/>
          <w:rFonts w:ascii="Times New Roman" w:hAnsi="Times New Roman" w:cs="Times New Roman"/>
          <w:sz w:val="24"/>
          <w:szCs w:val="24"/>
        </w:rPr>
        <w:t xml:space="preserve"> (Spellman pers. comm. 2022)</w:t>
      </w:r>
      <w:r w:rsidRPr="00B0591E">
        <w:rPr>
          <w:rStyle w:val="cf01"/>
          <w:rFonts w:ascii="Times New Roman" w:hAnsi="Times New Roman" w:cs="Times New Roman"/>
          <w:sz w:val="24"/>
          <w:szCs w:val="24"/>
        </w:rPr>
        <w:t>.</w:t>
      </w:r>
    </w:p>
    <w:p w:rsidR="00762E18" w:rsidP="00762E18" w:rsidRDefault="00762E18" w14:paraId="2546C995" w14:textId="77777777">
      <w:pPr>
        <w:pStyle w:val="InfoPara"/>
      </w:pPr>
      <w:r>
        <w:t>Vegetation Description</w:t>
      </w:r>
    </w:p>
    <w:p w:rsidR="00762E18" w:rsidP="00762E18" w:rsidRDefault="00762E18" w14:paraId="27B02BA0" w14:textId="345BE0A9">
      <w:r>
        <w:t xml:space="preserve">The mature phase of this system is dominated by </w:t>
      </w:r>
      <w:r w:rsidRPr="00B0591E">
        <w:rPr>
          <w:i/>
          <w:iCs/>
        </w:rPr>
        <w:t xml:space="preserve">Picea glauca, Betula </w:t>
      </w:r>
      <w:r w:rsidRPr="00B0591E" w:rsidR="000C7D90">
        <w:rPr>
          <w:i/>
          <w:iCs/>
        </w:rPr>
        <w:t>neoalaskana</w:t>
      </w:r>
      <w:r w:rsidR="009E4ABA">
        <w:rPr>
          <w:i/>
          <w:iCs/>
        </w:rPr>
        <w:t xml:space="preserve">, </w:t>
      </w:r>
      <w:r>
        <w:t xml:space="preserve">and </w:t>
      </w:r>
      <w:r w:rsidRPr="00B0591E">
        <w:rPr>
          <w:i/>
          <w:iCs/>
        </w:rPr>
        <w:t>Picea mariana</w:t>
      </w:r>
      <w:r>
        <w:t xml:space="preserve">. </w:t>
      </w:r>
      <w:r w:rsidRPr="00B0591E">
        <w:rPr>
          <w:i/>
          <w:iCs/>
        </w:rPr>
        <w:t>Populus balsamifera</w:t>
      </w:r>
      <w:r w:rsidRPr="00B0591E" w:rsidR="000C7D90">
        <w:rPr>
          <w:i/>
          <w:iCs/>
        </w:rPr>
        <w:t xml:space="preserve"> (P. balsamifera </w:t>
      </w:r>
      <w:r w:rsidRPr="002D0810" w:rsidR="000C7D90">
        <w:t>ssp.</w:t>
      </w:r>
      <w:r w:rsidRPr="00B0591E" w:rsidR="000C7D90">
        <w:rPr>
          <w:i/>
          <w:iCs/>
        </w:rPr>
        <w:t xml:space="preserve"> trichocarpa</w:t>
      </w:r>
      <w:r w:rsidR="000C7D90">
        <w:t xml:space="preserve"> in sub boreal) </w:t>
      </w:r>
      <w:r>
        <w:t xml:space="preserve">and </w:t>
      </w:r>
      <w:r w:rsidRPr="00B0591E">
        <w:rPr>
          <w:i/>
          <w:iCs/>
        </w:rPr>
        <w:t>Populus tremuloides</w:t>
      </w:r>
      <w:r>
        <w:t xml:space="preserve"> are common early seral species on some sites. </w:t>
      </w:r>
      <w:r w:rsidRPr="00B0591E">
        <w:rPr>
          <w:i/>
          <w:iCs/>
        </w:rPr>
        <w:t xml:space="preserve">Picea mariana </w:t>
      </w:r>
      <w:r>
        <w:t xml:space="preserve">is more common and more likely to be dominant in the northern parts of this system’s range. Common understory species include </w:t>
      </w:r>
      <w:r w:rsidRPr="00B0591E">
        <w:rPr>
          <w:i/>
          <w:iCs/>
        </w:rPr>
        <w:t>Alnus tenuifolia, Rosa acicularis, Calamagrostis canadensis, Cornus canadensis, Equisetum arvense, Hylocomium splendens</w:t>
      </w:r>
      <w:r>
        <w:t xml:space="preserve"> and </w:t>
      </w:r>
      <w:r w:rsidRPr="00B0591E">
        <w:rPr>
          <w:i/>
          <w:iCs/>
        </w:rPr>
        <w:t>Rhytidiadelphus triquetrus</w:t>
      </w:r>
      <w:r>
        <w:t xml:space="preserve"> (Jorgenson et al. 1999).</w:t>
      </w:r>
    </w:p>
    <w:p w:rsidR="00762E18" w:rsidP="00762E18" w:rsidRDefault="00762E18" w14:paraId="2C867271" w14:textId="77777777"/>
    <w:p w:rsidR="00762E18" w:rsidP="00762E18" w:rsidRDefault="00762E18" w14:paraId="3CE1204F" w14:textId="77777777">
      <w:r>
        <w:lastRenderedPageBreak/>
        <w:t xml:space="preserve">Immediately adjacent to the stream bank and in recently burned areas, tall shrubs including </w:t>
      </w:r>
      <w:r w:rsidRPr="00B0591E">
        <w:rPr>
          <w:i/>
          <w:iCs/>
        </w:rPr>
        <w:t>Alnus tenuifolia, Salix. alaxensis, S. bebbiana</w:t>
      </w:r>
      <w:r>
        <w:t xml:space="preserve"> </w:t>
      </w:r>
      <w:r w:rsidRPr="005D4350">
        <w:t>and</w:t>
      </w:r>
      <w:r w:rsidRPr="00B0591E">
        <w:rPr>
          <w:i/>
          <w:iCs/>
        </w:rPr>
        <w:t xml:space="preserve"> S. lasiandra</w:t>
      </w:r>
      <w:r>
        <w:t xml:space="preserve"> tend to dominate, with </w:t>
      </w:r>
      <w:r w:rsidRPr="00B0591E">
        <w:rPr>
          <w:i/>
          <w:iCs/>
        </w:rPr>
        <w:t>Carex</w:t>
      </w:r>
      <w:r>
        <w:t xml:space="preserve"> spp. and </w:t>
      </w:r>
      <w:r w:rsidRPr="00B0591E">
        <w:rPr>
          <w:i/>
          <w:iCs/>
        </w:rPr>
        <w:t>Calamagrostis canadensis</w:t>
      </w:r>
      <w:r>
        <w:t xml:space="preserve"> in the understory (NatureServe 2008, Jorgenson et al. 1999).</w:t>
      </w:r>
    </w:p>
    <w:p w:rsidR="00762E18" w:rsidP="00762E18" w:rsidRDefault="00762E18" w14:paraId="23A14693" w14:textId="77777777">
      <w:pPr>
        <w:pStyle w:val="InfoPara"/>
      </w:pPr>
      <w:r>
        <w:t>BpS Dominant and Indicator Species</w:t>
      </w:r>
    </w:p>
    <w:p>
      <w:r>
        <w:rPr>
          <w:sz w:val="16"/>
        </w:rPr>
        <w:t>Species names are from the NRCS PLANTS database. Check species codes at http://plants.usda.gov.</w:t>
      </w:r>
    </w:p>
    <w:p w:rsidR="00762E18" w:rsidP="00762E18" w:rsidRDefault="00762E18" w14:paraId="0D1EB2F9" w14:textId="77777777">
      <w:pPr>
        <w:pStyle w:val="InfoPara"/>
      </w:pPr>
      <w:r>
        <w:t>Disturbance Description</w:t>
      </w:r>
    </w:p>
    <w:p w:rsidR="003C6478" w:rsidP="003C6478" w:rsidRDefault="003C6478" w14:paraId="0719110E" w14:textId="77777777">
      <w:r>
        <w:t>Seasonal overbank flooding may occur, but it generally does not result in shifting channels or gravel bar formation (NatureServe 2008). As a result, flooding typically only acts as a disturbance in a narrow zone along the bank. This zone will typically remain in a self-replacing shrub stage. Beaver activity may play a role in the dynamics of this system, but it is not included in the model due to the limited scale of these impacts.</w:t>
      </w:r>
    </w:p>
    <w:p w:rsidR="003C6478" w:rsidP="00762E18" w:rsidRDefault="003C6478" w14:paraId="67A0BCFB" w14:textId="77777777"/>
    <w:p w:rsidR="00762E18" w:rsidP="00762E18" w:rsidRDefault="003C6478" w14:paraId="1672733E" w14:textId="77173725">
      <w:r>
        <w:t>R</w:t>
      </w:r>
      <w:r w:rsidR="00762E18">
        <w:t>iparian forest and shrub stringers typically burn less frequently than adjacent vegetation types and tend to act as fire breaks.</w:t>
      </w:r>
      <w:r>
        <w:t xml:space="preserve"> </w:t>
      </w:r>
      <w:r w:rsidR="00762E18">
        <w:t xml:space="preserve">Because of the linear nature of this system, fire frequencies are strongly influenced by surrounding vegetation types. In the Sub-boreal region, surrounding vegetation is more likely to be white spruce and hardwood forest. In the northern boreal region, adjacent forest is more likely to be a black spruce </w:t>
      </w:r>
      <w:r w:rsidR="000729DD">
        <w:t>dominant</w:t>
      </w:r>
      <w:r w:rsidR="00762E18">
        <w:t xml:space="preserve"> that burns more frequently. However, this system may also occur in tundra areas where there is a gap in the permafrost layer along the riparian corridor. The riparian stringer in this environment will have a very low fire frequency. As a result, fire </w:t>
      </w:r>
      <w:r w:rsidRPr="00B0591E" w:rsidR="00762E18">
        <w:t>frequencies are likely to be more variable in the boreal region compared with the Sub-boreal region. Patchy, mixed severity fire is thought to be more common in this type than in most other spruce-hardwood types.</w:t>
      </w:r>
    </w:p>
    <w:p w:rsidR="00762E18" w:rsidP="00762E18" w:rsidRDefault="00762E18" w14:paraId="3FBBD0EA" w14:textId="77777777"/>
    <w:p w:rsidR="00762E18" w:rsidP="00762E18" w:rsidRDefault="00762E18" w14:paraId="7CE176C8" w14:textId="43D5D370">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62E18" w:rsidP="00762E18" w:rsidRDefault="00762E18" w14:paraId="7B8AC641" w14:textId="77777777">
      <w:pPr>
        <w:pStyle w:val="InfoPara"/>
      </w:pPr>
      <w:r>
        <w:t>Scale Description</w:t>
      </w:r>
    </w:p>
    <w:p w:rsidR="00762E18" w:rsidP="00762E18" w:rsidRDefault="00762E18" w14:paraId="15E49830" w14:textId="77777777">
      <w:r>
        <w:t>Linear</w:t>
      </w:r>
    </w:p>
    <w:p w:rsidR="00762E18" w:rsidP="00762E18" w:rsidRDefault="00762E18" w14:paraId="614F3372" w14:textId="77777777">
      <w:pPr>
        <w:pStyle w:val="InfoPara"/>
      </w:pPr>
      <w:r>
        <w:t>Adjacency or Identification Concerns</w:t>
      </w:r>
    </w:p>
    <w:p w:rsidR="00762E18" w:rsidP="00762E18" w:rsidRDefault="00762E18" w14:paraId="367590DB" w14:textId="77777777">
      <w:r>
        <w:t>See the Disturbance Description for more information on adjacent types.</w:t>
      </w:r>
    </w:p>
    <w:p w:rsidR="00762E18" w:rsidP="00762E18" w:rsidRDefault="00762E18" w14:paraId="5742DF60" w14:textId="77777777">
      <w:pPr>
        <w:pStyle w:val="InfoPara"/>
      </w:pPr>
      <w:r>
        <w:lastRenderedPageBreak/>
        <w:t>Issues or Problems</w:t>
      </w:r>
    </w:p>
    <w:p w:rsidR="00762E18" w:rsidP="00762E18" w:rsidRDefault="00762E18" w14:paraId="3B803A18" w14:textId="13F0CD37">
      <w:r>
        <w:t xml:space="preserve">The main factor controlling the disturbance regime in this </w:t>
      </w:r>
      <w:r w:rsidR="00FB3409">
        <w:t>BpS</w:t>
      </w:r>
      <w:r>
        <w:t xml:space="preserve"> is its ecological setting. Ideally, we would create a separate model for this system on sites where the adjacent systems are non-forested. If these sites cannot be distinguished, then it is probably not worth creating separate models for the boreal and Sub-boreal regions, as the </w:t>
      </w:r>
      <w:r w:rsidR="00C45046">
        <w:t>fire return interval (</w:t>
      </w:r>
      <w:r>
        <w:t>FRI</w:t>
      </w:r>
      <w:r w:rsidR="00C45046">
        <w:t>)</w:t>
      </w:r>
      <w:r>
        <w:t xml:space="preserve"> is probably similar for the two regions.</w:t>
      </w:r>
    </w:p>
    <w:p w:rsidR="00762E18" w:rsidP="00762E18" w:rsidRDefault="00762E18" w14:paraId="41418ADA" w14:textId="77777777"/>
    <w:p w:rsidR="00762E18" w:rsidP="00762E18" w:rsidRDefault="00762E18" w14:paraId="0A78A8C3" w14:textId="77777777">
      <w:r>
        <w:t>A reviewer noted that the age of transition from the shrub/sapling class to the forest class may vary widely depending on the tree species present. Hardwoods will begin to overtop the shrubs around age 15, but this stage will be very difficult to distinguish from the shrub stage using satellite imagery. Spruce-dominated stands may not transition from Class A to B for much longer, as it may take black spruce 30yrs to reach 3m in height.</w:t>
      </w:r>
    </w:p>
    <w:p w:rsidR="00762E18" w:rsidP="00762E18" w:rsidRDefault="00762E18" w14:paraId="51EEF2F7" w14:textId="77777777"/>
    <w:p w:rsidR="00762E18" w:rsidP="00762E18" w:rsidRDefault="00762E18" w14:paraId="56EBDB6D" w14:textId="77777777">
      <w:r>
        <w:t>Classes B and C may overlap in canopy composition. For the purposes of this model, it has been assumed that Class B will have &gt;50% hardwoods in the canopy and Class C will have &gt;50% spruce, but there will be exceptions to this rule in reality.</w:t>
      </w:r>
    </w:p>
    <w:p w:rsidR="00762E18" w:rsidP="00762E18" w:rsidRDefault="00762E18" w14:paraId="314DBB71" w14:textId="77777777">
      <w:pPr>
        <w:pStyle w:val="InfoPara"/>
      </w:pPr>
      <w:r>
        <w:t>Native Uncharacteristic Conditions</w:t>
      </w:r>
    </w:p>
    <w:p w:rsidR="00762E18" w:rsidP="00762E18" w:rsidRDefault="00762E18" w14:paraId="0E1CA589" w14:textId="77777777"/>
    <w:p w:rsidR="00762E18" w:rsidP="00762E18" w:rsidRDefault="00762E18" w14:paraId="7C07372E" w14:textId="77777777">
      <w:pPr>
        <w:pStyle w:val="InfoPara"/>
      </w:pPr>
      <w:r>
        <w:t>Comments</w:t>
      </w:r>
    </w:p>
    <w:p w:rsidR="007B5EDC" w:rsidP="007B5EDC" w:rsidRDefault="007B5EDC" w14:paraId="1B8CF49A" w14:textId="7BE6122F">
      <w:r>
        <w:t xml:space="preserve">8/2022 - Kori Blankenship adjusted the modeled </w:t>
      </w:r>
      <w:r w:rsidR="0073613C">
        <w:t>mean fire return interval (</w:t>
      </w:r>
      <w:r>
        <w:t>MFRI</w:t>
      </w:r>
      <w:r w:rsidR="0073613C">
        <w:t>)</w:t>
      </w:r>
      <w:r>
        <w:t xml:space="preserve"> from 156 to 303 years based on the relative fire frequency rankings developed for boreal forest BpS during </w:t>
      </w:r>
      <w:r w:rsidRPr="00693789">
        <w:t>the Boreal Forest BpS Review Work Session in February 2022</w:t>
      </w:r>
      <w:r>
        <w:t>. The change in fire frequency changed the succession class proportions from 9, 41, 50 to 5, 27, 68 in classes A-C respectively.</w:t>
      </w:r>
    </w:p>
    <w:p w:rsidR="007B5EDC" w:rsidP="00762E18" w:rsidRDefault="007B5EDC" w14:paraId="70515469" w14:textId="09908A25"/>
    <w:p w:rsidR="000626D1" w:rsidP="00762E18" w:rsidRDefault="000626D1" w14:paraId="1435CE82" w14:textId="2BEAF8A3">
      <w:r>
        <w:t>Reviewer Ilana Abrahamson noted that she found no published fire history studies on this BpS in a 2014 literature review.</w:t>
      </w:r>
    </w:p>
    <w:p w:rsidR="000626D1" w:rsidP="00762E18" w:rsidRDefault="000626D1" w14:paraId="58557998" w14:textId="77777777"/>
    <w:p w:rsidR="00762E18" w:rsidP="00762E18" w:rsidRDefault="000626D1" w14:paraId="2A550E70" w14:textId="3017FEEE">
      <w:r>
        <w:t>During LANDFIRE National</w:t>
      </w:r>
      <w:r w:rsidR="00003D5F">
        <w:t>,</w:t>
      </w:r>
      <w:r>
        <w:t xml:space="preserve"> t</w:t>
      </w:r>
      <w:r w:rsidR="00762E18">
        <w:t>his model was created for the AK boreal region and did not receive review for the arctic region.</w:t>
      </w:r>
      <w:r>
        <w:t xml:space="preserve"> </w:t>
      </w:r>
      <w:r w:rsidR="00762E18">
        <w:t xml:space="preserve">The draft version of this model was created by </w:t>
      </w:r>
      <w:r w:rsidR="00DD166F">
        <w:t>Nancy</w:t>
      </w:r>
      <w:r w:rsidR="00762E18">
        <w:t xml:space="preserve"> Fresco and Colleen Ryan based in part on input from the experts who attended the LANDFIRE Anchorage (Dec. 07) modeling meeting. Extensive review by the Alaska Dept. of Natural Resources Div. of Forestry led to extensive changes to the model. As a result, lead reviewer Douglas Hanson was added as a modeler. The other Div. of Forestry reviewers, Marc Lee, Northern Region Forest Manager, and Tom Kurkowski, GIS specialist, were listed as reviewers. Will Putnam (wputman@tananachiefs.org) reviewed an early draft of this model.</w:t>
      </w:r>
    </w:p>
    <w:p w:rsidR="00BD4A9E" w:rsidP="009B3408" w:rsidRDefault="00BD4A9E" w14:paraId="79ADA36C" w14:textId="31D94998">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62E18" w:rsidP="00762E18" w:rsidRDefault="00762E18" w14:paraId="18233ACD" w14:textId="71E502E9">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762E18" w:rsidP="00762E18" w:rsidRDefault="00762E18" w14:paraId="44802B36" w14:textId="77777777"/>
    <w:p w:rsidR="00762E18" w:rsidP="00762E18" w:rsidRDefault="00762E18" w14:paraId="040683B9" w14:textId="77777777">
      <w:pPr>
        <w:pStyle w:val="SClassInfoPara"/>
      </w:pPr>
      <w:r>
        <w:t>Indicator Species</w:t>
      </w:r>
    </w:p>
    <w:p w:rsidR="00762E18" w:rsidP="00762E18" w:rsidRDefault="00762E18" w14:paraId="7D4320EA" w14:textId="77777777"/>
    <w:p w:rsidR="00762E18" w:rsidP="00762E18" w:rsidRDefault="00762E18" w14:paraId="13529ABC" w14:textId="77777777">
      <w:pPr>
        <w:pStyle w:val="SClassInfoPara"/>
      </w:pPr>
      <w:r>
        <w:t>Description</w:t>
      </w:r>
    </w:p>
    <w:p w:rsidR="00762E18" w:rsidP="00762E18" w:rsidRDefault="00762E18" w14:paraId="79974EB6" w14:textId="2AE53D20">
      <w:r>
        <w:t>Shrub-sapling. This stage is dominated by shrubs</w:t>
      </w:r>
      <w:r w:rsidR="00DA0F99">
        <w:t>,</w:t>
      </w:r>
      <w:r>
        <w:t xml:space="preserve"> but trees begin to sprout</w:t>
      </w:r>
      <w:r w:rsidR="00DA0F99">
        <w:t>,</w:t>
      </w:r>
      <w:r>
        <w:t xml:space="preserve"> and saplings may be present. Around age</w:t>
      </w:r>
      <w:r w:rsidR="00DA0F99">
        <w:t xml:space="preserve"> </w:t>
      </w:r>
      <w:r>
        <w:t xml:space="preserve">15, the hardwood saplings will begin to overtop the shrubs, though the spruce saplings will still be in the understory. </w:t>
      </w:r>
    </w:p>
    <w:p w:rsidR="00762E18" w:rsidP="00762E18" w:rsidRDefault="00762E18" w14:paraId="3CB3A34A" w14:textId="77777777"/>
    <w:p w:rsidR="00762E18" w:rsidP="00762E18" w:rsidRDefault="00762E18" w14:paraId="528C1B6F" w14:textId="77777777">
      <w:r>
        <w:t xml:space="preserve">Common shrub species include a variety of </w:t>
      </w:r>
      <w:r w:rsidRPr="00DA0F99">
        <w:rPr>
          <w:i/>
          <w:iCs/>
        </w:rPr>
        <w:t>Salix</w:t>
      </w:r>
      <w:r>
        <w:t xml:space="preserve"> spp. and </w:t>
      </w:r>
      <w:r w:rsidRPr="00DA0F99">
        <w:rPr>
          <w:i/>
          <w:iCs/>
        </w:rPr>
        <w:t>Alnus tenuifolia</w:t>
      </w:r>
      <w:r>
        <w:t xml:space="preserve">. Herbs frequently include </w:t>
      </w:r>
      <w:r w:rsidRPr="00DA0F99">
        <w:rPr>
          <w:i/>
          <w:iCs/>
        </w:rPr>
        <w:t>Calamagrostis canadensis, Equisetum arvense</w:t>
      </w:r>
      <w:r>
        <w:t xml:space="preserve"> and </w:t>
      </w:r>
      <w:r w:rsidRPr="00DA0F99">
        <w:rPr>
          <w:i/>
          <w:iCs/>
        </w:rPr>
        <w:t>Carex</w:t>
      </w:r>
      <w:r>
        <w:t xml:space="preserve"> spp. </w:t>
      </w:r>
    </w:p>
    <w:p w:rsidR="00762E18" w:rsidP="00762E18" w:rsidRDefault="00762E18" w14:paraId="64054B16" w14:textId="77777777"/>
    <w:p w:rsidR="00762E18" w:rsidP="00762E18" w:rsidRDefault="00762E18" w14:paraId="3A1E7C0F" w14:textId="0E837C39">
      <w:r>
        <w:t xml:space="preserve">This class includes those areas immediately adjacent to the stream bank that are dominated by shrubs maintained by frequent flooding. These areas are unlikely to burn. </w:t>
      </w:r>
      <w:r w:rsidR="000626D1">
        <w:t>F</w:t>
      </w:r>
      <w:r>
        <w:t>looding in this class is meant to represent these areas.</w:t>
      </w:r>
    </w:p>
    <w:p w:rsidR="00762E18" w:rsidP="00762E18" w:rsidRDefault="00762E18" w14:paraId="4D83BA9E" w14:textId="77777777"/>
    <w:p>
      <w:r>
        <w:rPr>
          <w:i/>
          <w:u w:val="single"/>
        </w:rPr>
        <w:t>Maximum Tree Size Class</w:t>
      </w:r>
      <w:br/>
      <w:r>
        <w:t>Seedling/Sapling &lt;5"</w:t>
      </w:r>
    </w:p>
    <w:p w:rsidR="00762E18" w:rsidP="00762E18" w:rsidRDefault="00762E18" w14:paraId="519B1FFB" w14:textId="0796C47E">
      <w:pPr>
        <w:pStyle w:val="InfoPara"/>
        <w:pBdr>
          <w:top w:val="single" w:color="auto" w:sz="4" w:space="1"/>
        </w:pBdr>
      </w:pPr>
      <w:r>
        <w:t>Class B</w:t>
      </w:r>
      <w:r>
        <w:tab/>
        <w:t>26</w:t>
      </w:r>
      <w:r w:rsidR="002A3B10">
        <w:tab/>
      </w:r>
      <w:r w:rsidR="002A3B10">
        <w:tab/>
      </w:r>
      <w:r w:rsidR="002A3B10">
        <w:tab/>
      </w:r>
      <w:r w:rsidR="002A3B10">
        <w:tab/>
      </w:r>
      <w:r w:rsidR="004F7795">
        <w:t>Mid Development 1 - All Structures</w:t>
      </w:r>
    </w:p>
    <w:p w:rsidR="00762E18" w:rsidP="00762E18" w:rsidRDefault="00762E18" w14:paraId="49519FAF" w14:textId="77777777"/>
    <w:p w:rsidR="00762E18" w:rsidP="00762E18" w:rsidRDefault="00762E18" w14:paraId="5B67E9D1" w14:textId="77777777">
      <w:pPr>
        <w:pStyle w:val="SClassInfoPara"/>
      </w:pPr>
      <w:r>
        <w:t>Indicator Species</w:t>
      </w:r>
    </w:p>
    <w:p w:rsidR="00762E18" w:rsidP="00762E18" w:rsidRDefault="00762E18" w14:paraId="2001B77D" w14:textId="77777777"/>
    <w:p w:rsidR="00762E18" w:rsidP="00762E18" w:rsidRDefault="00762E18" w14:paraId="7CE8F8CB" w14:textId="77777777">
      <w:pPr>
        <w:pStyle w:val="SClassInfoPara"/>
      </w:pPr>
      <w:r>
        <w:t>Description</w:t>
      </w:r>
    </w:p>
    <w:p w:rsidR="00762E18" w:rsidP="00762E18" w:rsidRDefault="00762E18" w14:paraId="37E15D41" w14:textId="0B204F3B">
      <w:r>
        <w:t>White spruce-hardwood mix. This is a mixed white spruce</w:t>
      </w:r>
      <w:r w:rsidR="003251D2">
        <w:t>/</w:t>
      </w:r>
      <w:r>
        <w:t>black spruce</w:t>
      </w:r>
      <w:r w:rsidR="003251D2">
        <w:t>/</w:t>
      </w:r>
      <w:r>
        <w:t xml:space="preserve">hardwood forest. Black spruce is more </w:t>
      </w:r>
      <w:r w:rsidR="000626D1">
        <w:t>common,</w:t>
      </w:r>
      <w:r>
        <w:t xml:space="preserve"> and hardwoods are less common in the northern boreal region. Early in this age range, hardwoods will dominate the overstory. Spruce species typically will not overtop the shrub layer until age 30-50. By the end of this age range, the canopy will typically be dominated by a mixture of birch and spruce.</w:t>
      </w:r>
    </w:p>
    <w:p w:rsidR="00762E18" w:rsidP="00762E18" w:rsidRDefault="00762E18" w14:paraId="5BC36A57" w14:textId="77777777"/>
    <w:p w:rsidR="00762E18" w:rsidP="00762E18" w:rsidRDefault="00762E18" w14:paraId="72D382BD" w14:textId="032492BE">
      <w:r>
        <w:t xml:space="preserve">Species composition is highly variable in this class, depending on landscape context, site characteristics, disturbance history and available seed sources. </w:t>
      </w:r>
      <w:r w:rsidRPr="00B0591E">
        <w:rPr>
          <w:i/>
          <w:iCs/>
        </w:rPr>
        <w:t xml:space="preserve">Picea glauca, Betula </w:t>
      </w:r>
      <w:r w:rsidRPr="00B0591E" w:rsidR="000C7D90">
        <w:rPr>
          <w:i/>
          <w:iCs/>
        </w:rPr>
        <w:t>neoalaskana</w:t>
      </w:r>
      <w:r w:rsidRPr="00B0591E">
        <w:rPr>
          <w:i/>
          <w:iCs/>
        </w:rPr>
        <w:t>, Populus balsamifera</w:t>
      </w:r>
      <w:r w:rsidRPr="00B0591E" w:rsidR="002760BD">
        <w:rPr>
          <w:i/>
          <w:iCs/>
        </w:rPr>
        <w:t xml:space="preserve">, P. balsamifera </w:t>
      </w:r>
      <w:r w:rsidRPr="00953C4A" w:rsidR="002760BD">
        <w:t>ssp.</w:t>
      </w:r>
      <w:r w:rsidRPr="00B0591E" w:rsidR="002760BD">
        <w:rPr>
          <w:i/>
          <w:iCs/>
        </w:rPr>
        <w:t xml:space="preserve"> trichocarpa</w:t>
      </w:r>
      <w:r>
        <w:t xml:space="preserve">, </w:t>
      </w:r>
      <w:r w:rsidRPr="00B0591E">
        <w:rPr>
          <w:i/>
          <w:iCs/>
        </w:rPr>
        <w:t xml:space="preserve">Alnus </w:t>
      </w:r>
      <w:r>
        <w:t xml:space="preserve">spp. and </w:t>
      </w:r>
      <w:r w:rsidRPr="00B0591E">
        <w:rPr>
          <w:i/>
          <w:iCs/>
        </w:rPr>
        <w:t>Salix</w:t>
      </w:r>
      <w:r>
        <w:t xml:space="preserve"> spp. typically dominate the overstory, though </w:t>
      </w:r>
      <w:r w:rsidRPr="00B0591E">
        <w:rPr>
          <w:i/>
          <w:iCs/>
        </w:rPr>
        <w:t>Picea mariana</w:t>
      </w:r>
      <w:r>
        <w:t xml:space="preserve"> may be common, especially in the northern boreal region. The understory commonly includes </w:t>
      </w:r>
      <w:r w:rsidRPr="00B0591E">
        <w:rPr>
          <w:i/>
          <w:iCs/>
        </w:rPr>
        <w:t>Rosa acicularis, Carex</w:t>
      </w:r>
      <w:r>
        <w:t xml:space="preserve"> spp.</w:t>
      </w:r>
      <w:r w:rsidR="00D620D0">
        <w:t>,</w:t>
      </w:r>
      <w:r>
        <w:t xml:space="preserve"> and </w:t>
      </w:r>
      <w:r w:rsidRPr="00B0591E">
        <w:rPr>
          <w:i/>
          <w:iCs/>
        </w:rPr>
        <w:t>Calamagrostis canadensis</w:t>
      </w:r>
      <w:r>
        <w:t>. Though species composition is highly variable, this class can be distinguished for mapping purposes by canopy composition (&gt;50% hardwoods).</w:t>
      </w:r>
    </w:p>
    <w:p w:rsidR="00762E18" w:rsidP="00762E18" w:rsidRDefault="00762E18" w14:paraId="3A16A5FB" w14:textId="77777777"/>
    <w:p>
      <w:r>
        <w:rPr>
          <w:i/>
          <w:u w:val="single"/>
        </w:rPr>
        <w:t>Maximum Tree Size Class</w:t>
      </w:r>
      <w:br/>
      <w:r>
        <w:t>Pole 5–9" (swd)/5–11" (hwd)</w:t>
      </w:r>
    </w:p>
    <w:p w:rsidR="00762E18" w:rsidP="00762E18" w:rsidRDefault="00762E18" w14:paraId="11EA59F0" w14:textId="7BA09B3F">
      <w:pPr>
        <w:pStyle w:val="InfoPara"/>
        <w:pBdr>
          <w:top w:val="single" w:color="auto" w:sz="4" w:space="1"/>
        </w:pBdr>
      </w:pPr>
      <w:r>
        <w:t>Class C</w:t>
      </w:r>
      <w:r>
        <w:tab/>
        <w:t>69</w:t>
      </w:r>
      <w:r w:rsidR="002A3B10">
        <w:tab/>
      </w:r>
      <w:r w:rsidR="002A3B10">
        <w:tab/>
      </w:r>
      <w:r w:rsidR="002A3B10">
        <w:tab/>
      </w:r>
      <w:r w:rsidR="002A3B10">
        <w:tab/>
      </w:r>
      <w:r w:rsidR="004F7795">
        <w:t>Late Development 1 - All Structures</w:t>
      </w:r>
    </w:p>
    <w:p w:rsidR="00762E18" w:rsidP="00762E18" w:rsidRDefault="00762E18" w14:paraId="7A187E34" w14:textId="77777777"/>
    <w:p w:rsidR="00762E18" w:rsidP="00762E18" w:rsidRDefault="00762E18" w14:paraId="18AE863C" w14:textId="77777777">
      <w:pPr>
        <w:pStyle w:val="SClassInfoPara"/>
      </w:pPr>
      <w:r>
        <w:t>Indicator Species</w:t>
      </w:r>
    </w:p>
    <w:p w:rsidR="00762E18" w:rsidP="00762E18" w:rsidRDefault="00762E18" w14:paraId="16D7207B" w14:textId="77777777"/>
    <w:p w:rsidR="00762E18" w:rsidP="00762E18" w:rsidRDefault="00762E18" w14:paraId="5605DEA2" w14:textId="77777777">
      <w:pPr>
        <w:pStyle w:val="SClassInfoPara"/>
      </w:pPr>
      <w:r>
        <w:t>Description</w:t>
      </w:r>
    </w:p>
    <w:p w:rsidR="00762E18" w:rsidP="00762E18" w:rsidRDefault="00762E18" w14:paraId="5D0C1B73" w14:textId="77777777">
      <w:r>
        <w:t>Mature spruce forest. This class is typically dominated by mature spruce (&gt;50% spruce in the canopy). More northern sites will have more black spruce, while more southern sites will be mostly white spruce. However, when these stands extend to the far north of the Boreal region, such as the south slopes of the Brooks Range, white spruce will dominate over black spruce. Birch frequently persists in the canopy but typically will constitute &lt;50% of the canopy.</w:t>
      </w:r>
    </w:p>
    <w:p w:rsidR="00762E18" w:rsidP="00762E18" w:rsidRDefault="00762E18" w14:paraId="34860164" w14:textId="77777777"/>
    <w:p w:rsidR="00762E18" w:rsidP="00762E18" w:rsidRDefault="00762E18" w14:paraId="13F0216A" w14:textId="0E7F77DB">
      <w:r>
        <w:t xml:space="preserve">Understory plants include </w:t>
      </w:r>
      <w:r w:rsidRPr="00B0591E">
        <w:rPr>
          <w:i/>
          <w:iCs/>
        </w:rPr>
        <w:t>Alnus tenuifolia, Rosa acicularis, Cornus canadensis, Equisetum arvense, Hylocomium splendens</w:t>
      </w:r>
      <w:r w:rsidR="00F54A2E">
        <w:rPr>
          <w:i/>
          <w:iCs/>
        </w:rPr>
        <w:t>,</w:t>
      </w:r>
      <w:r>
        <w:t xml:space="preserve"> and </w:t>
      </w:r>
      <w:r w:rsidRPr="00B0591E">
        <w:rPr>
          <w:i/>
          <w:iCs/>
        </w:rPr>
        <w:t>Rhytidiadelphus triquetrus</w:t>
      </w:r>
      <w:r>
        <w:t xml:space="preserve"> (Jorgenson et al. 1999).</w:t>
      </w:r>
    </w:p>
    <w:p w:rsidR="00762E18" w:rsidP="00762E18" w:rsidRDefault="00762E18" w14:paraId="04A29363" w14:textId="77777777"/>
    <w:p>
      <w:r>
        <w:rPr>
          <w:i/>
          <w:u w:val="single"/>
        </w:rPr>
        <w:t>Maximum Tree Size Class</w:t>
      </w:r>
      <w:br/>
      <w:r>
        <w:t>Med. 9–20" (swd)/11–20" (hwd)</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Flooding</w:t>
      </w:r>
    </w:p>
    <w:p>
      <w:r>
        <w:t/>
      </w:r>
    </w:p>
    <w:p>
      <w:pPr>
        <w:pStyle w:val="ReportSection"/>
      </w:pPr>
      <w:r>
        <w:t>References</w:t>
      </w:r>
    </w:p>
    <w:p>
      <w:r>
        <w:t/>
      </w:r>
    </w:p>
    <w:p w:rsidR="00762E18" w:rsidP="00762E18" w:rsidRDefault="00762E18" w14:paraId="63DCF6FC" w14:textId="77777777">
      <w:r>
        <w:t>Foote, M. Joan. 1983. Classification, description, and dynamics of plant communities after fire in the Taiga of Interior Alaska. Res. Pap. PNW-307. Portland, OR: USDA Forest Service, Pacific Northwest Forest and Range Experiment Station. 108 pp.</w:t>
      </w:r>
    </w:p>
    <w:p w:rsidR="00762E18" w:rsidP="00762E18" w:rsidRDefault="00762E18" w14:paraId="2EFC12EA" w14:textId="77777777"/>
    <w:p w:rsidR="00762E18" w:rsidP="00762E18" w:rsidRDefault="00762E18" w14:paraId="176E6E08" w14:textId="77777777">
      <w:r>
        <w:t>Jorgenson, M. T., J. E. Roth, M. K. Raynolds, M. D. Smith, W. Lentz, A. L. Zusi-Cobb, and C. H. Racine. 1999. An ecological land survey for Fort Wainwright, Alaska. U.S. Army Cold Regions Research and Engineering Laboratory, Hanover, NH. CRREL TR-99-9. 92 pp.</w:t>
      </w:r>
    </w:p>
    <w:p w:rsidR="00762E18" w:rsidP="00762E18" w:rsidRDefault="00762E18" w14:paraId="027FE647" w14:textId="77777777"/>
    <w:p w:rsidR="00762E18" w:rsidP="00762E18" w:rsidRDefault="00762E18" w14:paraId="7FB1DC33" w14:textId="77777777">
      <w:r>
        <w:t>NatureServe. 2008. International Ecological Classification Standard: Terrestrial Ecological Classifications. Draft Ecological Systems Description for Alaska Boreal and Sub-boreal Regions.</w:t>
      </w:r>
    </w:p>
    <w:p w:rsidR="00762E18" w:rsidP="00762E18" w:rsidRDefault="00762E18" w14:paraId="65598963" w14:textId="77777777"/>
    <w:p w:rsidR="00762E18" w:rsidP="00762E18" w:rsidRDefault="00762E18" w14:paraId="36F88B49" w14:textId="77777777">
      <w:r>
        <w:t>Viereck et al. 1992. The Alaska vegetation classification. Pacific Northwest Research Station, USDA Forest Service, Portland, OR. Gen. Tech. Rep. PNW-GTR286. 278 p.</w:t>
      </w:r>
    </w:p>
    <w:p w:rsidRPr="00A43E41" w:rsidR="004D5F12" w:rsidP="00762E18" w:rsidRDefault="004D5F12" w14:paraId="78042DB5"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26288" w14:textId="77777777" w:rsidR="00CF43B4" w:rsidRDefault="00CF43B4">
      <w:r>
        <w:separator/>
      </w:r>
    </w:p>
  </w:endnote>
  <w:endnote w:type="continuationSeparator" w:id="0">
    <w:p w14:paraId="763D5D08" w14:textId="77777777" w:rsidR="00CF43B4" w:rsidRDefault="00CF4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11D9B" w14:textId="77777777" w:rsidR="00762E18" w:rsidRDefault="00762E18" w:rsidP="00762E1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11CDF" w14:textId="77777777" w:rsidR="00CF43B4" w:rsidRDefault="00CF43B4">
      <w:r>
        <w:separator/>
      </w:r>
    </w:p>
  </w:footnote>
  <w:footnote w:type="continuationSeparator" w:id="0">
    <w:p w14:paraId="3BABA702" w14:textId="77777777" w:rsidR="00CF43B4" w:rsidRDefault="00CF4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5A454" w14:textId="77777777" w:rsidR="00A43E41" w:rsidRDefault="00A43E41" w:rsidP="00762E1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98489008">
    <w:abstractNumId w:val="1"/>
  </w:num>
  <w:num w:numId="2" w16cid:durableId="451633653">
    <w:abstractNumId w:val="0"/>
  </w:num>
  <w:num w:numId="3" w16cid:durableId="20332621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D166F"/>
    <w:pPr>
      <w:ind w:left="720"/>
    </w:pPr>
    <w:rPr>
      <w:rFonts w:ascii="Calibri" w:eastAsia="Calibri" w:hAnsi="Calibri"/>
      <w:sz w:val="22"/>
      <w:szCs w:val="22"/>
    </w:rPr>
  </w:style>
  <w:style w:type="character" w:styleId="Hyperlink">
    <w:name w:val="Hyperlink"/>
    <w:rsid w:val="00DD166F"/>
    <w:rPr>
      <w:color w:val="0000FF"/>
      <w:u w:val="single"/>
    </w:rPr>
  </w:style>
  <w:style w:type="character" w:styleId="CommentReference">
    <w:name w:val="annotation reference"/>
    <w:basedOn w:val="DefaultParagraphFont"/>
    <w:uiPriority w:val="99"/>
    <w:semiHidden/>
    <w:unhideWhenUsed/>
    <w:rsid w:val="00E3621C"/>
    <w:rPr>
      <w:sz w:val="16"/>
      <w:szCs w:val="16"/>
    </w:rPr>
  </w:style>
  <w:style w:type="paragraph" w:styleId="CommentText">
    <w:name w:val="annotation text"/>
    <w:basedOn w:val="Normal"/>
    <w:link w:val="CommentTextChar"/>
    <w:uiPriority w:val="99"/>
    <w:unhideWhenUsed/>
    <w:rsid w:val="00E3621C"/>
    <w:rPr>
      <w:sz w:val="20"/>
      <w:szCs w:val="20"/>
    </w:rPr>
  </w:style>
  <w:style w:type="character" w:customStyle="1" w:styleId="CommentTextChar">
    <w:name w:val="Comment Text Char"/>
    <w:basedOn w:val="DefaultParagraphFont"/>
    <w:link w:val="CommentText"/>
    <w:uiPriority w:val="99"/>
    <w:rsid w:val="00E3621C"/>
  </w:style>
  <w:style w:type="paragraph" w:styleId="CommentSubject">
    <w:name w:val="annotation subject"/>
    <w:basedOn w:val="CommentText"/>
    <w:next w:val="CommentText"/>
    <w:link w:val="CommentSubjectChar"/>
    <w:uiPriority w:val="99"/>
    <w:semiHidden/>
    <w:unhideWhenUsed/>
    <w:rsid w:val="00E3621C"/>
    <w:rPr>
      <w:b/>
      <w:bCs/>
    </w:rPr>
  </w:style>
  <w:style w:type="character" w:customStyle="1" w:styleId="CommentSubjectChar">
    <w:name w:val="Comment Subject Char"/>
    <w:basedOn w:val="CommentTextChar"/>
    <w:link w:val="CommentSubject"/>
    <w:uiPriority w:val="99"/>
    <w:semiHidden/>
    <w:rsid w:val="00E3621C"/>
    <w:rPr>
      <w:b/>
      <w:bCs/>
    </w:rPr>
  </w:style>
  <w:style w:type="paragraph" w:styleId="BalloonText">
    <w:name w:val="Balloon Text"/>
    <w:basedOn w:val="Normal"/>
    <w:link w:val="BalloonTextChar"/>
    <w:uiPriority w:val="99"/>
    <w:semiHidden/>
    <w:unhideWhenUsed/>
    <w:rsid w:val="00E362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1C"/>
    <w:rPr>
      <w:rFonts w:ascii="Segoe UI" w:hAnsi="Segoe UI" w:cs="Segoe UI"/>
      <w:sz w:val="18"/>
      <w:szCs w:val="18"/>
    </w:rPr>
  </w:style>
  <w:style w:type="table" w:styleId="TableGrid">
    <w:name w:val="Table Grid"/>
    <w:basedOn w:val="TableNormal"/>
    <w:uiPriority w:val="59"/>
    <w:rsid w:val="00C349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43247"/>
    <w:rPr>
      <w:sz w:val="24"/>
      <w:szCs w:val="24"/>
    </w:rPr>
  </w:style>
  <w:style w:type="paragraph" w:customStyle="1" w:styleId="pf0">
    <w:name w:val="pf0"/>
    <w:basedOn w:val="Normal"/>
    <w:rsid w:val="004240F0"/>
    <w:pPr>
      <w:spacing w:before="100" w:beforeAutospacing="1" w:after="100" w:afterAutospacing="1"/>
    </w:pPr>
  </w:style>
  <w:style w:type="character" w:customStyle="1" w:styleId="cf01">
    <w:name w:val="cf01"/>
    <w:basedOn w:val="DefaultParagraphFont"/>
    <w:rsid w:val="004240F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935125">
      <w:bodyDiv w:val="1"/>
      <w:marLeft w:val="0"/>
      <w:marRight w:val="0"/>
      <w:marTop w:val="0"/>
      <w:marBottom w:val="0"/>
      <w:divBdr>
        <w:top w:val="none" w:sz="0" w:space="0" w:color="auto"/>
        <w:left w:val="none" w:sz="0" w:space="0" w:color="auto"/>
        <w:bottom w:val="none" w:sz="0" w:space="0" w:color="auto"/>
        <w:right w:val="none" w:sz="0" w:space="0" w:color="auto"/>
      </w:divBdr>
    </w:div>
    <w:div w:id="1112869243">
      <w:bodyDiv w:val="1"/>
      <w:marLeft w:val="0"/>
      <w:marRight w:val="0"/>
      <w:marTop w:val="0"/>
      <w:marBottom w:val="0"/>
      <w:divBdr>
        <w:top w:val="none" w:sz="0" w:space="0" w:color="auto"/>
        <w:left w:val="none" w:sz="0" w:space="0" w:color="auto"/>
        <w:bottom w:val="none" w:sz="0" w:space="0" w:color="auto"/>
        <w:right w:val="none" w:sz="0" w:space="0" w:color="auto"/>
      </w:divBdr>
    </w:div>
    <w:div w:id="1127621907">
      <w:bodyDiv w:val="1"/>
      <w:marLeft w:val="0"/>
      <w:marRight w:val="0"/>
      <w:marTop w:val="0"/>
      <w:marBottom w:val="0"/>
      <w:divBdr>
        <w:top w:val="none" w:sz="0" w:space="0" w:color="auto"/>
        <w:left w:val="none" w:sz="0" w:space="0" w:color="auto"/>
        <w:bottom w:val="none" w:sz="0" w:space="0" w:color="auto"/>
        <w:right w:val="none" w:sz="0" w:space="0" w:color="auto"/>
      </w:divBdr>
    </w:div>
    <w:div w:id="1248928453">
      <w:bodyDiv w:val="1"/>
      <w:marLeft w:val="0"/>
      <w:marRight w:val="0"/>
      <w:marTop w:val="0"/>
      <w:marBottom w:val="0"/>
      <w:divBdr>
        <w:top w:val="none" w:sz="0" w:space="0" w:color="auto"/>
        <w:left w:val="none" w:sz="0" w:space="0" w:color="auto"/>
        <w:bottom w:val="none" w:sz="0" w:space="0" w:color="auto"/>
        <w:right w:val="none" w:sz="0" w:space="0" w:color="auto"/>
      </w:divBdr>
    </w:div>
    <w:div w:id="1726030758">
      <w:bodyDiv w:val="1"/>
      <w:marLeft w:val="0"/>
      <w:marRight w:val="0"/>
      <w:marTop w:val="0"/>
      <w:marBottom w:val="0"/>
      <w:divBdr>
        <w:top w:val="none" w:sz="0" w:space="0" w:color="auto"/>
        <w:left w:val="none" w:sz="0" w:space="0" w:color="auto"/>
        <w:bottom w:val="none" w:sz="0" w:space="0" w:color="auto"/>
        <w:right w:val="none" w:sz="0" w:space="0" w:color="auto"/>
      </w:divBdr>
    </w:div>
    <w:div w:id="185291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0EDDE-42FF-4D88-BC4F-7A8668DE6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Template>
  <TotalTime>20</TotalTime>
  <Pages>5</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22</cp:revision>
  <cp:lastPrinted>2015-09-11T19:36:00Z</cp:lastPrinted>
  <dcterms:created xsi:type="dcterms:W3CDTF">2022-09-08T18:09:00Z</dcterms:created>
  <dcterms:modified xsi:type="dcterms:W3CDTF">2025-02-12T09:42:08Z</dcterms:modified>
</cp:coreProperties>
</file>