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6B9" w:rsidP="009466B9" w:rsidRDefault="00695990" w14:paraId="46CB836F" w14:textId="3B6B1B35">
      <w:pPr>
        <w:pStyle w:val="BpSTitle"/>
      </w:pPr>
      <w:r w:rsidRPr="00695990">
        <w:t>16200</w:t>
      </w:r>
    </w:p>
    <w:p w:rsidR="00F5426A" w:rsidP="00F5426A" w:rsidRDefault="00F5426A" w14:paraId="7BD836A7" w14:textId="77777777">
      <w:pPr>
        <w:rPr>
          <w:rFonts w:ascii="Arial" w:hAnsi="Arial" w:eastAsia="Calibri" w:cs="Arial"/>
          <w:b/>
          <w:bCs/>
          <w:sz w:val="28"/>
          <w:szCs w:val="28"/>
        </w:rPr>
      </w:pPr>
      <w:r w:rsidRPr="007C0773">
        <w:rPr>
          <w:rFonts w:ascii="Arial" w:hAnsi="Arial" w:eastAsia="Calibri" w:cs="Arial"/>
          <w:b/>
          <w:bCs/>
          <w:sz w:val="28"/>
          <w:szCs w:val="28"/>
        </w:rPr>
        <w:t>Western North American Boreal Shrub-Sedge Bog and Acidic Fen</w:t>
      </w:r>
    </w:p>
    <w:p w:rsidR="00F5426A" w:rsidP="00F5426A" w:rsidRDefault="00F5426A" w14:paraId="30B5B176" w14:textId="77777777">
      <w:r>
        <w:t>BpS Model/Description Version: Nov. 2024</w:t>
      </w:r>
      <w:r>
        <w:tab/>
      </w:r>
      <w:r>
        <w:tab/>
      </w:r>
      <w:r>
        <w:tab/>
      </w:r>
      <w:r>
        <w:tab/>
      </w:r>
      <w:r>
        <w:tab/>
      </w:r>
      <w:r>
        <w:tab/>
      </w:r>
      <w:r>
        <w:tab/>
      </w:r>
    </w:p>
    <w:p w:rsidR="00F5426A" w:rsidP="00F5426A" w:rsidRDefault="00F5426A" w14:paraId="4565BB08" w14:textId="77777777"/>
    <w:p w:rsidR="00246004" w:rsidP="00F5426A" w:rsidRDefault="00246004" w14:paraId="4C9C5296" w14:textId="2A78B24F">
      <w:pPr>
        <w:pStyle w:val="InfoPara"/>
      </w:pPr>
      <w:r>
        <w:t xml:space="preserve">Reviewer: </w:t>
      </w:r>
      <w:r w:rsidRPr="0083031E">
        <w:rPr>
          <w:b w:val="0"/>
          <w:bCs/>
        </w:rPr>
        <w:t>Blaine T. Spellman</w:t>
      </w:r>
    </w:p>
    <w:p w:rsidR="00F5426A" w:rsidP="00F5426A" w:rsidRDefault="00F5426A" w14:paraId="58E4D092" w14:textId="0D4935A9">
      <w:pPr>
        <w:pStyle w:val="InfoPara"/>
      </w:pPr>
      <w:r>
        <w:t>Vegetation Type</w:t>
      </w:r>
    </w:p>
    <w:p w:rsidR="00F5426A" w:rsidP="00F5426A" w:rsidRDefault="00F5426A" w14:paraId="5D224448" w14:textId="77777777">
      <w:r>
        <w:t>Woody Wetlands</w:t>
      </w:r>
    </w:p>
    <w:p w:rsidR="00F5426A" w:rsidP="00F5426A" w:rsidRDefault="00F5426A" w14:paraId="06A276CB" w14:textId="77777777">
      <w:pPr>
        <w:pStyle w:val="InfoPara"/>
      </w:pPr>
      <w:r>
        <w:t>Map Zones</w:t>
      </w:r>
    </w:p>
    <w:p w:rsidR="00672FAF" w:rsidP="00672FAF" w:rsidRDefault="00672FAF" w14:paraId="4EDE9F49" w14:textId="77777777">
      <w:pPr>
        <w:rPr>
          <w:rFonts w:ascii="Calibri" w:hAnsi="Calibri" w:cs="Calibri"/>
          <w:color w:val="000000"/>
          <w:sz w:val="22"/>
          <w:szCs w:val="22"/>
        </w:rPr>
      </w:pPr>
      <w:r>
        <w:rPr>
          <w:rFonts w:ascii="Calibri" w:hAnsi="Calibri" w:cs="Calibri"/>
          <w:color w:val="000000"/>
          <w:sz w:val="22"/>
          <w:szCs w:val="22"/>
        </w:rPr>
        <w:t>68, 69, 70, 71, 72, 73, 74, 75, 76, 77, 78</w:t>
      </w:r>
    </w:p>
    <w:p w:rsidR="00F5426A" w:rsidP="00F5426A" w:rsidRDefault="00F5426A" w14:paraId="138FE827" w14:textId="77777777">
      <w:pPr>
        <w:pStyle w:val="InfoPara"/>
      </w:pPr>
      <w:r>
        <w:t>Geographic Range</w:t>
      </w:r>
    </w:p>
    <w:p w:rsidRPr="007C0773" w:rsidR="00F5426A" w:rsidP="00F5426A" w:rsidRDefault="00F5426A" w14:paraId="12C9EEEC" w14:textId="5B80A114">
      <w:pPr>
        <w:pStyle w:val="InfoPara"/>
        <w:rPr>
          <w:b w:val="0"/>
          <w:bCs/>
        </w:rPr>
      </w:pPr>
      <w:r w:rsidRPr="007C0773">
        <w:rPr>
          <w:b w:val="0"/>
          <w:bCs/>
        </w:rPr>
        <w:t xml:space="preserve">This </w:t>
      </w:r>
      <w:r w:rsidR="00106444">
        <w:rPr>
          <w:b w:val="0"/>
          <w:bCs/>
        </w:rPr>
        <w:t>Biophysical Setting (BpS)</w:t>
      </w:r>
      <w:r w:rsidRPr="007C0773">
        <w:rPr>
          <w:b w:val="0"/>
          <w:bCs/>
        </w:rPr>
        <w:t xml:space="preserve"> extends across lowlands of the western boreal and boreal transition regions of North America, including Alaska, with occurrences in inland British Columbia, and is not associated with permafrost processes. These wetlands are also found at higher temperate and boreal latitudes of Canada, extending south into the Pacific Maritime and Rocky Mountain divisions.</w:t>
      </w:r>
    </w:p>
    <w:p w:rsidR="00F5426A" w:rsidP="00F5426A" w:rsidRDefault="00F5426A" w14:paraId="67DF8389" w14:textId="77777777">
      <w:pPr>
        <w:pStyle w:val="InfoPara"/>
      </w:pPr>
      <w:r>
        <w:t>Biophysical Site Description</w:t>
      </w:r>
    </w:p>
    <w:p w:rsidRPr="007C0773" w:rsidR="00F5426A" w:rsidP="00F5426A" w:rsidRDefault="00F5426A" w14:paraId="04C61AA1" w14:textId="309DD6BC">
      <w:r w:rsidRPr="007C0773">
        <w:t xml:space="preserve">This </w:t>
      </w:r>
      <w:r w:rsidR="001F31A2">
        <w:t>BpS</w:t>
      </w:r>
      <w:r w:rsidRPr="007C0773">
        <w:t xml:space="preserve"> occurs in lowlands of the boreal and boreal transition regions of Alaska and includes low</w:t>
      </w:r>
      <w:r w:rsidR="00B51B4B">
        <w:t>,</w:t>
      </w:r>
      <w:r w:rsidRPr="007C0773">
        <w:t xml:space="preserve"> shrub-dominated wetlands. Sites may be wetlands or hydrologically closed bogs and poor fens (systems with little or no groundwater inputs) with thick (&gt;40 cm) peat deposits. However, peat depth is variable and can be less than 40 cm deep. Organic soils are acidic and nutrient-poor. Soils are saturated for at least a portion of the growing season, and permafrost is absent. It includes basin or blanket bogs.</w:t>
      </w:r>
    </w:p>
    <w:p w:rsidR="00F5426A" w:rsidP="00F5426A" w:rsidRDefault="00F5426A" w14:paraId="3EF84FA1" w14:textId="77777777">
      <w:pPr>
        <w:pStyle w:val="InfoPara"/>
      </w:pPr>
      <w:r>
        <w:t>Vegetation Description</w:t>
      </w:r>
    </w:p>
    <w:p w:rsidR="00F5426A" w:rsidP="0083031E" w:rsidRDefault="00F5426A" w14:paraId="5713B5B8" w14:textId="58B12C71">
      <w:pPr>
        <w:pStyle w:val="ListBullet"/>
        <w:numPr>
          <w:ilvl w:val="0"/>
          <w:numId w:val="0"/>
        </w:numPr>
        <w:rPr>
          <w:rFonts w:ascii="Times New Roman" w:hAnsi="Times New Roman"/>
          <w:sz w:val="24"/>
          <w:szCs w:val="24"/>
        </w:rPr>
      </w:pPr>
      <w:r w:rsidRPr="007C0773">
        <w:rPr>
          <w:rFonts w:ascii="Times New Roman" w:hAnsi="Times New Roman"/>
          <w:sz w:val="24"/>
          <w:szCs w:val="24"/>
        </w:rPr>
        <w:t xml:space="preserve">Common species include </w:t>
      </w:r>
      <w:r w:rsidRPr="007C0773">
        <w:rPr>
          <w:rFonts w:ascii="Times New Roman" w:hAnsi="Times New Roman"/>
          <w:i/>
          <w:iCs/>
          <w:sz w:val="24"/>
          <w:szCs w:val="24"/>
        </w:rPr>
        <w:t>Vaccinium oxycoccos (= Oxycoccus microcarpos), Andromeda</w:t>
      </w:r>
      <w:r w:rsidR="0083031E">
        <w:rPr>
          <w:rFonts w:ascii="Times New Roman" w:hAnsi="Times New Roman"/>
          <w:i/>
          <w:iCs/>
          <w:sz w:val="24"/>
          <w:szCs w:val="24"/>
        </w:rPr>
        <w:t xml:space="preserve"> </w:t>
      </w:r>
      <w:r w:rsidRPr="007C0773">
        <w:rPr>
          <w:rFonts w:ascii="Times New Roman" w:hAnsi="Times New Roman"/>
          <w:i/>
          <w:iCs/>
          <w:sz w:val="24"/>
          <w:szCs w:val="24"/>
        </w:rPr>
        <w:t xml:space="preserve">polifolia, Vaccinium uliginosum, Ledum palustre </w:t>
      </w:r>
      <w:r w:rsidRPr="00322BC5">
        <w:rPr>
          <w:rFonts w:ascii="Times New Roman" w:hAnsi="Times New Roman"/>
          <w:sz w:val="24"/>
          <w:szCs w:val="24"/>
        </w:rPr>
        <w:t>ssp</w:t>
      </w:r>
      <w:r w:rsidRPr="007C0773">
        <w:rPr>
          <w:rFonts w:ascii="Times New Roman" w:hAnsi="Times New Roman"/>
          <w:i/>
          <w:iCs/>
          <w:sz w:val="24"/>
          <w:szCs w:val="24"/>
        </w:rPr>
        <w:t>. decumbens, Ledum groenlandicum, Betula nana, Rubus chamaemorus, Empetrum nigrum, Myrica gale, Comarum palustre, Salix fuscescens, Salix pulchra, Chamaedaphne calyculata</w:t>
      </w:r>
      <w:r w:rsidRPr="007C0773">
        <w:rPr>
          <w:rFonts w:ascii="Times New Roman" w:hAnsi="Times New Roman"/>
          <w:sz w:val="24"/>
          <w:szCs w:val="24"/>
        </w:rPr>
        <w:t xml:space="preserve">, </w:t>
      </w:r>
      <w:r w:rsidRPr="007C0773">
        <w:rPr>
          <w:rFonts w:ascii="Times New Roman" w:hAnsi="Times New Roman"/>
          <w:i/>
          <w:iCs/>
          <w:sz w:val="24"/>
          <w:szCs w:val="24"/>
        </w:rPr>
        <w:t xml:space="preserve">Calamagrostis canadensis, Carex aquatilis, Carex microglochin, Carex rotundata, Carex rariflora, Carex lasiocarpa, Carex limosa, Carex chordorrhiza, Carex livida, Carex pluriflora, Carex pauciflora, Carex stylosa, Carex membranacea, Eriophorum brachyantherum, Eriophorum angustifolium, </w:t>
      </w:r>
      <w:r w:rsidRPr="00246004" w:rsidR="00246004">
        <w:rPr>
          <w:rFonts w:ascii="Times New Roman" w:hAnsi="Times New Roman"/>
          <w:i/>
          <w:iCs/>
          <w:sz w:val="24"/>
          <w:szCs w:val="24"/>
        </w:rPr>
        <w:t>Calla palustris</w:t>
      </w:r>
      <w:r w:rsidR="00246004">
        <w:rPr>
          <w:rFonts w:ascii="Times New Roman" w:hAnsi="Times New Roman"/>
          <w:sz w:val="24"/>
          <w:szCs w:val="24"/>
        </w:rPr>
        <w:t>,</w:t>
      </w:r>
      <w:r w:rsidRPr="00246004" w:rsidR="00246004">
        <w:rPr>
          <w:rFonts w:ascii="Times New Roman" w:hAnsi="Times New Roman"/>
          <w:i/>
          <w:iCs/>
          <w:sz w:val="24"/>
          <w:szCs w:val="24"/>
        </w:rPr>
        <w:t xml:space="preserve"> </w:t>
      </w:r>
      <w:r w:rsidRPr="007C0773">
        <w:rPr>
          <w:rFonts w:ascii="Times New Roman" w:hAnsi="Times New Roman"/>
          <w:sz w:val="24"/>
          <w:szCs w:val="24"/>
        </w:rPr>
        <w:t xml:space="preserve">and </w:t>
      </w:r>
      <w:r w:rsidRPr="007C0773">
        <w:rPr>
          <w:rFonts w:ascii="Times New Roman" w:hAnsi="Times New Roman"/>
          <w:i/>
          <w:iCs/>
          <w:sz w:val="24"/>
          <w:szCs w:val="24"/>
        </w:rPr>
        <w:t>Drosera</w:t>
      </w:r>
      <w:r w:rsidRPr="007C0773">
        <w:rPr>
          <w:rFonts w:ascii="Times New Roman" w:hAnsi="Times New Roman"/>
          <w:sz w:val="24"/>
          <w:szCs w:val="24"/>
        </w:rPr>
        <w:t xml:space="preserve"> spp. (DeVelice et al. 1999, Jorgenson et al. 2003, Gracz et al. 2005). </w:t>
      </w:r>
      <w:r w:rsidRPr="007C0773">
        <w:rPr>
          <w:rFonts w:ascii="Times New Roman" w:hAnsi="Times New Roman"/>
          <w:i/>
          <w:iCs/>
          <w:sz w:val="24"/>
          <w:szCs w:val="24"/>
        </w:rPr>
        <w:t>Sphagnum</w:t>
      </w:r>
      <w:r w:rsidRPr="007C0773">
        <w:rPr>
          <w:rFonts w:ascii="Times New Roman" w:hAnsi="Times New Roman"/>
          <w:sz w:val="24"/>
          <w:szCs w:val="24"/>
        </w:rPr>
        <w:t xml:space="preserve"> spp. are usually abundant in the ground layer. </w:t>
      </w:r>
      <w:r w:rsidRPr="007C0773">
        <w:rPr>
          <w:rFonts w:ascii="Times New Roman" w:hAnsi="Times New Roman"/>
          <w:i/>
          <w:iCs/>
          <w:sz w:val="24"/>
          <w:szCs w:val="24"/>
        </w:rPr>
        <w:t>Myrica gale</w:t>
      </w:r>
      <w:r w:rsidRPr="007C0773">
        <w:rPr>
          <w:rFonts w:ascii="Times New Roman" w:hAnsi="Times New Roman"/>
          <w:sz w:val="24"/>
          <w:szCs w:val="24"/>
        </w:rPr>
        <w:t xml:space="preserve"> and </w:t>
      </w:r>
      <w:r w:rsidRPr="007C0773">
        <w:rPr>
          <w:rFonts w:ascii="Times New Roman" w:hAnsi="Times New Roman"/>
          <w:i/>
          <w:iCs/>
          <w:sz w:val="24"/>
          <w:szCs w:val="24"/>
        </w:rPr>
        <w:t>Chamaedaphne calyculata</w:t>
      </w:r>
      <w:r w:rsidRPr="007C0773">
        <w:rPr>
          <w:rFonts w:ascii="Times New Roman" w:hAnsi="Times New Roman"/>
          <w:sz w:val="24"/>
          <w:szCs w:val="24"/>
        </w:rPr>
        <w:t xml:space="preserve"> indicate</w:t>
      </w:r>
      <w:r w:rsidR="00246004">
        <w:rPr>
          <w:rFonts w:ascii="Times New Roman" w:hAnsi="Times New Roman"/>
          <w:sz w:val="24"/>
          <w:szCs w:val="24"/>
        </w:rPr>
        <w:t xml:space="preserve"> poor</w:t>
      </w:r>
      <w:r w:rsidRPr="007C0773">
        <w:rPr>
          <w:rFonts w:ascii="Times New Roman" w:hAnsi="Times New Roman"/>
          <w:sz w:val="24"/>
          <w:szCs w:val="24"/>
        </w:rPr>
        <w:t xml:space="preserve"> fen conditions.</w:t>
      </w:r>
    </w:p>
    <w:p w:rsidR="00F5426A" w:rsidP="00F5426A" w:rsidRDefault="00F5426A" w14:paraId="2A2F32B4" w14:textId="77777777">
      <w:pPr>
        <w:pStyle w:val="InfoPara"/>
      </w:pPr>
      <w:r>
        <w:t>BpS Dominant and Indicator Species</w:t>
      </w:r>
    </w:p>
    <w:p>
      <w:r>
        <w:rPr>
          <w:sz w:val="16"/>
        </w:rPr>
        <w:t>Species names are from the NRCS PLANTS database. Check species codes at http://plants.usda.gov.</w:t>
      </w:r>
    </w:p>
    <w:p w:rsidR="00F5426A" w:rsidP="00F5426A" w:rsidRDefault="00F5426A" w14:paraId="18F9D177" w14:textId="53F97FD1">
      <w:pPr>
        <w:pStyle w:val="InfoPara"/>
      </w:pPr>
      <w:r>
        <w:t>Disturbance Description</w:t>
      </w:r>
    </w:p>
    <w:p w:rsidR="009003C8" w:rsidP="000C4875" w:rsidRDefault="00F5426A" w14:paraId="48F079E2" w14:textId="418E8DC6">
      <w:pPr>
        <w:spacing w:after="240"/>
      </w:pPr>
      <w:r w:rsidRPr="7382FC2D">
        <w:t>In boreal wetlands the general successional trend is from marsh to fen to treed bog; however, succession is not necessarily directional, and environmental conditions, such as nutrient content and abundance of groundwater, may prevent fens from developing into bogs (Zoltai et al. 1988). Succession begins in shallow ponds or low-lying wetlands formed by processes such as glacial recession and floodplain dynamics (oxbows) or thermokarst</w:t>
      </w:r>
      <w:r w:rsidR="00CA0D2D">
        <w:t>s</w:t>
      </w:r>
      <w:r w:rsidRPr="7382FC2D">
        <w:t>. An organic root mat typically develops and is either anchored to the mineral soil or floating on water such as a pond's edge. Over time, peat-forming mosses and sedges may fill in the basin. As the peat layer develops, low and/or dwarf-shrubs become established. Dwarf-trees may establish on the well-developed peat and also around the margin of the peatland.</w:t>
      </w:r>
      <w:r w:rsidR="00A82189">
        <w:t xml:space="preserve"> </w:t>
      </w:r>
      <w:r w:rsidRPr="7382FC2D">
        <w:t>Many peatlands on the Kenai Lowland formed in kettles after remnant glacial ice melted. In this region there is a trend toward peatlands drying and ponds shrinking and filling in (Klein et al. 2005).</w:t>
      </w:r>
      <w:r w:rsidR="00781EE8">
        <w:t xml:space="preserve"> </w:t>
      </w:r>
    </w:p>
    <w:p w:rsidR="00F5426A" w:rsidP="000C4875" w:rsidRDefault="00F5426A" w14:paraId="2580D410" w14:textId="3BD3D71E">
      <w:pPr>
        <w:spacing w:after="240"/>
      </w:pPr>
      <w:r w:rsidRPr="7382FC2D">
        <w:t>Permafrost degradation leading to collapse scars and thaw ponds is common in boreal Alaska, and studies from the Tanana Flats show areas of widespread degradation (Racine et al. 1998, Jorgenson et al. 2001a, 2001b, 2003). Thaw ponds form when ice-rich permafrost degrades and collapses forming a basin. Aquatic plants rapidly colonize the pond. Over time, marsh plants and sphagnum moss invade creating peatland conditions. This trend is leading to widespread ecosystem conversion in the Tanana Flats (Jorgenson et al. 2001b). If a collapse scar is isolated, succession follows a bog development model, whereas in an open hydrologic setting, succession follows a fen development model. Pond systems may become connected as adjacent permafrost thaws.</w:t>
      </w:r>
    </w:p>
    <w:p w:rsidR="00F5426A" w:rsidP="000C4875" w:rsidRDefault="00F5426A" w14:paraId="5A5431F8" w14:textId="77777777">
      <w:pPr>
        <w:spacing w:after="240"/>
      </w:pPr>
      <w:r w:rsidRPr="7382FC2D">
        <w:t xml:space="preserve">Succession to peatlands can also occur through paludification of previously forested landscapes. Restricted drainage from permafrost development (on inactive alluvial terraces, for example) can lead to the establishment of </w:t>
      </w:r>
      <w:r w:rsidRPr="7382FC2D">
        <w:rPr>
          <w:i/>
          <w:iCs/>
        </w:rPr>
        <w:t>Sphagnum</w:t>
      </w:r>
      <w:r w:rsidRPr="7382FC2D">
        <w:t xml:space="preserve"> spp. or other peat-forming mosses or sedges, and overtime, peatland plants dominate the site.</w:t>
      </w:r>
    </w:p>
    <w:p w:rsidRPr="007C0773" w:rsidR="00F5426A" w:rsidP="00F5426A" w:rsidRDefault="00F5426A" w14:paraId="0B9F57CD" w14:textId="77777777">
      <w:pPr>
        <w:pStyle w:val="InfoPara"/>
      </w:pPr>
      <w:r w:rsidRPr="007C0773">
        <w:t>Fire Frequency Results</w:t>
      </w:r>
    </w:p>
    <w:p w:rsidR="00781EE8" w:rsidP="00F5426A" w:rsidRDefault="00781EE8" w14:paraId="1E837BC7" w14:textId="77777777">
      <w:pPr>
        <w:pStyle w:val="InfoPara"/>
      </w:pPr>
    </w:p>
    <w:p w:rsidRPr="007C0773" w:rsidR="00F5426A" w:rsidP="00F5426A" w:rsidRDefault="00F5426A" w14:paraId="64A71772" w14:textId="3A1DA659">
      <w:pPr>
        <w:pStyle w:val="InfoPara"/>
      </w:pPr>
      <w:r w:rsidRPr="007C0773">
        <w:t>Scale Description</w:t>
      </w:r>
    </w:p>
    <w:p w:rsidRPr="007C0773" w:rsidR="00F5426A" w:rsidP="00F5426A" w:rsidRDefault="00F5426A" w14:paraId="793B62FA" w14:textId="77777777">
      <w:r w:rsidRPr="007C0773">
        <w:t>Large patch (small patch)</w:t>
      </w:r>
    </w:p>
    <w:p w:rsidR="00F5426A" w:rsidP="00F5426A" w:rsidRDefault="00F5426A" w14:paraId="7651069B" w14:textId="77777777">
      <w:pPr>
        <w:pStyle w:val="InfoPara"/>
      </w:pPr>
      <w:r>
        <w:t>Adjacency or Identification Concerns</w:t>
      </w:r>
    </w:p>
    <w:p w:rsidR="00F5426A" w:rsidP="00F5426A" w:rsidRDefault="00F5426A" w14:paraId="1D7756D5" w14:textId="77777777">
      <w:pPr>
        <w:pStyle w:val="InfoPara"/>
      </w:pPr>
      <w:r>
        <w:t>Issues or Problems</w:t>
      </w:r>
    </w:p>
    <w:p w:rsidR="00F5426A" w:rsidP="00F5426A" w:rsidRDefault="00F5426A" w14:paraId="064AD9DD" w14:textId="77777777">
      <w:pPr>
        <w:pStyle w:val="InfoPara"/>
      </w:pPr>
      <w:r>
        <w:lastRenderedPageBreak/>
        <w:t>Native Uncharacteristic Conditions</w:t>
      </w:r>
    </w:p>
    <w:p w:rsidR="00F5426A" w:rsidP="00F5426A" w:rsidRDefault="00F5426A" w14:paraId="00949468" w14:textId="77777777"/>
    <w:p w:rsidR="00F5426A" w:rsidP="00F5426A" w:rsidRDefault="00F5426A" w14:paraId="5F0E1832" w14:textId="77777777">
      <w:pPr>
        <w:pStyle w:val="InfoPara"/>
      </w:pPr>
      <w:r>
        <w:t>Comments</w:t>
      </w:r>
    </w:p>
    <w:p w:rsidR="00F5426A" w:rsidP="00F5426A" w:rsidRDefault="00F5426A" w14:paraId="3AC31BC5" w14:textId="5BD72B6F">
      <w:r w:rsidRPr="0093606D">
        <w:t xml:space="preserve">In 2021 </w:t>
      </w:r>
      <w:r>
        <w:t xml:space="preserve">Pat Comer drafted this description based on </w:t>
      </w:r>
      <w:r w:rsidRPr="0093606D">
        <w:t>NatureServe</w:t>
      </w:r>
      <w:r>
        <w:t xml:space="preserve">’s updated Ecological Systems </w:t>
      </w:r>
      <w:r w:rsidRPr="007C0773">
        <w:t>classification for AK. This concept was not described or modeled by LANDFIRE prior to 2021. Kori Blankenship created a simple one-box model to represent the BpS dynamics.</w:t>
      </w:r>
    </w:p>
    <w:p w:rsidR="00222BD5" w:rsidP="00F5426A" w:rsidRDefault="00222BD5" w14:paraId="68AA22F4" w14:textId="620BDE7A"/>
    <w:p w:rsidR="00FE6500" w:rsidP="00FE6500" w:rsidRDefault="00FE6500" w14:paraId="0AFFFE14"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7C0773" w:rsidR="00F5426A" w:rsidP="00F5426A" w:rsidRDefault="00F5426A" w14:paraId="36E4CA78"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F5426A" w:rsidP="00F5426A" w:rsidRDefault="00F5426A" w14:paraId="1F64B10D" w14:textId="77777777"/>
    <w:p w:rsidR="00F5426A" w:rsidP="00F5426A" w:rsidRDefault="00F5426A" w14:paraId="74E90B8C" w14:textId="77777777">
      <w:pPr>
        <w:pStyle w:val="SClassInfoPara"/>
      </w:pPr>
      <w:r>
        <w:t>Indicator Species</w:t>
      </w:r>
    </w:p>
    <w:p w:rsidR="00F5426A" w:rsidP="00F5426A" w:rsidRDefault="00F5426A" w14:paraId="6238B0F0" w14:textId="77777777"/>
    <w:p w:rsidR="00F5426A" w:rsidP="00F5426A" w:rsidRDefault="00F5426A" w14:paraId="33E8D841" w14:textId="77777777">
      <w:pPr>
        <w:pStyle w:val="SClassInfoPara"/>
      </w:pPr>
      <w:r>
        <w:t>Description</w:t>
      </w:r>
    </w:p>
    <w:p w:rsidR="00F5426A" w:rsidP="00F5426A" w:rsidRDefault="00F5426A" w14:paraId="06BD1321" w14:textId="77777777">
      <w:r>
        <w:t xml:space="preserve">This class represents the </w:t>
      </w:r>
      <w:r w:rsidRPr="007C0773">
        <w:t>Shrub-Sedge Bog and Acidic Fen</w:t>
      </w:r>
      <w:r>
        <w:rPr>
          <w:b/>
          <w:bCs/>
        </w:rPr>
        <w:t xml:space="preserve"> </w:t>
      </w:r>
      <w:r>
        <w:t>community. This class persists indefinitely under appropriate hydrological conditions.</w:t>
      </w:r>
    </w:p>
    <w:p w:rsidRPr="007C0773" w:rsidR="00F5426A" w:rsidP="00F5426A" w:rsidRDefault="00F5426A" w14:paraId="1E93807A" w14:textId="77777777">
      <w:pPr>
        <w:rPr>
          <w:highlight w:val="yellow"/>
        </w:rPr>
      </w:pP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7C0773" w:rsidR="00F5426A" w:rsidP="00F5426A" w:rsidRDefault="00F5426A" w14:paraId="7A2882CC" w14:textId="77777777">
      <w:pPr>
        <w:pStyle w:val="ListBullet"/>
        <w:numPr>
          <w:ilvl w:val="0"/>
          <w:numId w:val="0"/>
        </w:numPr>
        <w:tabs>
          <w:tab w:val="left" w:pos="0"/>
        </w:tabs>
        <w:rPr>
          <w:rFonts w:ascii="Times New Roman" w:hAnsi="Times New Roman"/>
          <w:sz w:val="24"/>
          <w:szCs w:val="24"/>
        </w:rPr>
      </w:pPr>
      <w:r w:rsidRPr="007C0773">
        <w:rPr>
          <w:rFonts w:ascii="Times New Roman" w:hAnsi="Times New Roman"/>
          <w:sz w:val="24"/>
          <w:szCs w:val="24"/>
        </w:rPr>
        <w:t xml:space="preserve">Comer, P., D. Faber-Langendoen, R. Evans, S. Gawler, C. Josse, G. Kittel, S. Menard, C. Nordman, M. Pyne, M. Reid, M. Russo, K. Schulz, K. Snow, J. Teague, and R. White. 2003-present. Ecological systems of the United States: A working classification of U.S. terrestrial systems. NatureServe, Arlington, VA. </w:t>
      </w:r>
    </w:p>
    <w:p w:rsidR="00F5426A" w:rsidP="00F5426A" w:rsidRDefault="00F5426A" w14:paraId="7F2ED17A" w14:textId="77777777">
      <w:pPr>
        <w:tabs>
          <w:tab w:val="left" w:pos="0"/>
        </w:tabs>
      </w:pPr>
    </w:p>
    <w:p w:rsidR="00F5426A" w:rsidP="00F5426A" w:rsidRDefault="00F5426A" w14:paraId="422741D0" w14:textId="77777777">
      <w:pPr>
        <w:tabs>
          <w:tab w:val="left" w:pos="0"/>
        </w:tabs>
      </w:pPr>
      <w:r>
        <w:t xml:space="preserve">DeVelice, R.L., 1999. </w:t>
      </w:r>
      <w:r>
        <w:rPr>
          <w:i/>
          <w:iCs/>
        </w:rPr>
        <w:t>Plant community types of the Chugach National Forest: southcentral Alaska</w:t>
      </w:r>
      <w:r>
        <w:t>. US Department of Agriculture, Forest Service, Chugach National Forest, Alaska Region.</w:t>
      </w:r>
    </w:p>
    <w:p w:rsidRPr="00651FF2" w:rsidR="00F5426A" w:rsidP="00F5426A" w:rsidRDefault="00F5426A" w14:paraId="77149237" w14:textId="77777777">
      <w:pPr>
        <w:tabs>
          <w:tab w:val="left" w:pos="0"/>
        </w:tabs>
      </w:pPr>
    </w:p>
    <w:p w:rsidR="00F5426A" w:rsidP="00F5426A" w:rsidRDefault="00F5426A" w14:paraId="6B3A3706" w14:textId="77777777">
      <w:r>
        <w:t>Foote, M. Joan. 1983. Classification, description, and dynamics of plant communities after fire in the Taiga of Interior Alaska. Res. Pap. PNW-307. Portland, OR: USDA Forest Service, Pacific Northwest Forest and Range Experiment Station. 108 pp.</w:t>
      </w:r>
    </w:p>
    <w:p w:rsidR="00F5426A" w:rsidP="00F5426A" w:rsidRDefault="00F5426A" w14:paraId="335DC283" w14:textId="77777777"/>
    <w:p w:rsidR="00F5426A" w:rsidP="00F5426A" w:rsidRDefault="00F5426A" w14:paraId="2EFBF3A2" w14:textId="77777777">
      <w:r>
        <w:t xml:space="preserve">Gracz, M., Noyes, K, North, P., Tande, G. 2005 Wetland Mapping and Classification of the Kenai Lowland, Alaska. </w:t>
      </w:r>
      <w:r>
        <w:t>http://www.kenaiwetlands.net/</w:t>
      </w:r>
    </w:p>
    <w:p w:rsidR="00F5426A" w:rsidP="00F5426A" w:rsidRDefault="00F5426A" w14:paraId="12BE51BD" w14:textId="77777777"/>
    <w:p w:rsidRPr="00041A35" w:rsidR="00F5426A" w:rsidP="00F5426A" w:rsidRDefault="00F5426A" w14:paraId="2A5288DE" w14:textId="77777777">
      <w:pPr>
        <w:pStyle w:val="ListBullet"/>
        <w:numPr>
          <w:ilvl w:val="0"/>
          <w:numId w:val="0"/>
        </w:numPr>
        <w:tabs>
          <w:tab w:val="clear" w:pos="216"/>
          <w:tab w:val="left" w:pos="0"/>
        </w:tabs>
        <w:rPr>
          <w:rFonts w:ascii="Times New Roman" w:hAnsi="Times New Roman"/>
          <w:sz w:val="24"/>
          <w:szCs w:val="24"/>
        </w:rPr>
      </w:pPr>
      <w:r w:rsidRPr="00041A35">
        <w:rPr>
          <w:rFonts w:ascii="Times New Roman" w:hAnsi="Times New Roman"/>
          <w:sz w:val="24"/>
          <w:szCs w:val="24"/>
        </w:rPr>
        <w:t>Jorgenson, M. T., J. E. Roth, M. D. Smith, S. Schlentner, W. Lentz, and E. R. Pullman. 2001. An ecological land survey for Fort Greely, Alaska. U.S. Army Cold Regions Research and Engineering Laboratory, Hanover, NH. ERDC/CRREL TR-01-04. 85 pp.</w:t>
      </w:r>
    </w:p>
    <w:p w:rsidR="00F5426A" w:rsidP="00F5426A" w:rsidRDefault="00F5426A" w14:paraId="3B5971E2" w14:textId="77777777"/>
    <w:p w:rsidR="00F5426A" w:rsidP="00F5426A" w:rsidRDefault="00F5426A" w14:paraId="7172BEA5" w14:textId="77777777">
      <w:r>
        <w:t xml:space="preserve">Jorgenson, M. T., J. E. Roth, M. Raynolds, M. D. Smith, W. Lentz, A. Zusi-Cobb, and C. H. Racine. 1999. An ecological land survey for Fort Wainwright, Alaska. U.S. Army Cold Regions Research and Engineering Laboratory, Hanover, NH. U.S. Army Cold Regions Research Engineering Laboratory, Hanover, NH CRREL Report 99-9. 83 pp. </w:t>
      </w:r>
    </w:p>
    <w:p w:rsidR="00F5426A" w:rsidP="00F5426A" w:rsidRDefault="00F5426A" w14:paraId="5A08AE16" w14:textId="77777777"/>
    <w:p w:rsidR="00F5426A" w:rsidP="00F5426A" w:rsidRDefault="00F5426A" w14:paraId="1A0B5C6F" w14:textId="77777777">
      <w:r>
        <w:t>Jorgenson, M. T., J. E. Roth, M. D. Smith, S. Schlentner, W. Lentz, and E. R. Pullman. 2001. An ecological land survey for Fort Greely, Alaska. U.S. Army Cold Regions Research and Engineering Laboratory, Hanover, NH. ERDC/CRREL TR-01-04. 85 pp.</w:t>
      </w:r>
    </w:p>
    <w:p w:rsidR="00F5426A" w:rsidP="00F5426A" w:rsidRDefault="00F5426A" w14:paraId="40E5CB04" w14:textId="77777777"/>
    <w:p w:rsidR="00F5426A" w:rsidP="00F5426A" w:rsidRDefault="00F5426A" w14:paraId="4AAA373D" w14:textId="77777777">
      <w:r>
        <w:t xml:space="preserve">Jorgenson, M.T., Racine, C.H., Walters, J.C. and Osterkamp, T.E., 2001. Permafrost degradation and ecological changes associated with a warmingclimate in central Alaska. </w:t>
      </w:r>
      <w:r>
        <w:rPr>
          <w:i/>
          <w:iCs/>
        </w:rPr>
        <w:t>Climatic change</w:t>
      </w:r>
      <w:r>
        <w:t xml:space="preserve">, </w:t>
      </w:r>
      <w:r>
        <w:rPr>
          <w:i/>
          <w:iCs/>
        </w:rPr>
        <w:t>48</w:t>
      </w:r>
      <w:r>
        <w:t>(4), pp.551-579.</w:t>
      </w:r>
    </w:p>
    <w:p w:rsidR="00F5426A" w:rsidP="00F5426A" w:rsidRDefault="00F5426A" w14:paraId="7F15F061" w14:textId="77777777"/>
    <w:p w:rsidR="00F5426A" w:rsidP="00F5426A" w:rsidRDefault="00F5426A" w14:paraId="07B3B58C" w14:textId="77777777">
      <w:r>
        <w:t xml:space="preserve">Klein, E., Berg, E.E. and Dial, R., 2005. Wetland drying and succession across the Kenai Peninsula Lowlands, south-central Alaska. </w:t>
      </w:r>
      <w:r>
        <w:rPr>
          <w:i/>
          <w:iCs/>
        </w:rPr>
        <w:t>Canadian Journal of Forest Research</w:t>
      </w:r>
      <w:r>
        <w:t xml:space="preserve">, </w:t>
      </w:r>
      <w:r>
        <w:rPr>
          <w:i/>
          <w:iCs/>
        </w:rPr>
        <w:t>35</w:t>
      </w:r>
      <w:r>
        <w:t>(8), pp.1931-1941.</w:t>
      </w:r>
    </w:p>
    <w:p w:rsidR="00F5426A" w:rsidP="00F5426A" w:rsidRDefault="00F5426A" w14:paraId="14487C87" w14:textId="77777777"/>
    <w:p w:rsidR="00F5426A" w:rsidP="00F5426A" w:rsidRDefault="00F5426A" w14:paraId="3BDDF127" w14:textId="77777777">
      <w:r>
        <w:t>Post, R. A. 1996. Functional profile of black spruce wetlands in Alaska. US EPA, Alaska Operations Office, Seattle, WA. EPA/910/R-96/006. 170pp.</w:t>
      </w:r>
    </w:p>
    <w:p w:rsidR="00F5426A" w:rsidP="00F5426A" w:rsidRDefault="00F5426A" w14:paraId="4C794227" w14:textId="77777777"/>
    <w:p w:rsidR="00F5426A" w:rsidP="00F5426A" w:rsidRDefault="00F5426A" w14:paraId="62EBBBF7" w14:textId="77777777">
      <w:r>
        <w:t xml:space="preserve">Racine, C.H., Jorgenson, M.T. and Walters, J.C., 1998, June. Thermokarst vegetation in lowland birch forests on the Tanana Flats, interior Alaska, USA. In </w:t>
      </w:r>
      <w:r>
        <w:rPr>
          <w:i/>
          <w:iCs/>
        </w:rPr>
        <w:t>Proceedings of the Seventh International Conference on Permafrost</w:t>
      </w:r>
      <w:r>
        <w:t xml:space="preserve"> (Vol. 57, pp. 927-933). Québec: Université Laval.</w:t>
      </w:r>
    </w:p>
    <w:p w:rsidR="00F5426A" w:rsidP="00F5426A" w:rsidRDefault="00F5426A" w14:paraId="0896DEDB" w14:textId="77777777"/>
    <w:p w:rsidR="00F5426A" w:rsidP="00F5426A" w:rsidRDefault="00F5426A" w14:paraId="1EF02F28" w14:textId="77777777">
      <w:r>
        <w:t xml:space="preserve">Zoltai, S.C., Taylor, S., Jeglum, J.K., Mills, G.F. and Johnson, J.D., 1988. Wetlands of boreal Canada. </w:t>
      </w:r>
      <w:r>
        <w:rPr>
          <w:i/>
          <w:iCs/>
        </w:rPr>
        <w:t>Wetlands of Canada, Ecological Land Classification Series</w:t>
      </w:r>
      <w:r>
        <w:t xml:space="preserve">, </w:t>
      </w:r>
      <w:r>
        <w:rPr>
          <w:i/>
          <w:iCs/>
        </w:rPr>
        <w:t>24</w:t>
      </w:r>
      <w:r>
        <w:t>, pp.97-154.</w:t>
      </w:r>
    </w:p>
    <w:p w:rsidR="00F5426A" w:rsidP="00F5426A" w:rsidRDefault="00F5426A" w14:paraId="7F4DE2D3" w14:textId="77777777"/>
    <w:p w:rsidRPr="00A43E41" w:rsidR="00F5426A" w:rsidP="00F5426A" w:rsidRDefault="00F5426A" w14:paraId="6A03BBED" w14:textId="77777777"/>
    <w:p w:rsidR="009466B9" w:rsidP="00F5426A" w:rsidRDefault="009466B9" w14:paraId="2F8189BC" w14:textId="71A902AA">
      <w:pPr>
        <w:pStyle w:val="BpSTitle"/>
      </w:pPr>
    </w:p>
    <w:sectPr w:rsidR="009466B9"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7476" w14:textId="77777777" w:rsidR="00954026" w:rsidRDefault="00954026">
      <w:r>
        <w:separator/>
      </w:r>
    </w:p>
  </w:endnote>
  <w:endnote w:type="continuationSeparator" w:id="0">
    <w:p w14:paraId="728D04B4" w14:textId="77777777" w:rsidR="00954026" w:rsidRDefault="00954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93D5" w14:textId="77777777" w:rsidR="00E477D7" w:rsidRDefault="00E477D7" w:rsidP="009466B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4F3F5" w14:textId="77777777" w:rsidR="00954026" w:rsidRDefault="00954026">
      <w:r>
        <w:separator/>
      </w:r>
    </w:p>
  </w:footnote>
  <w:footnote w:type="continuationSeparator" w:id="0">
    <w:p w14:paraId="7D425FE3" w14:textId="77777777" w:rsidR="00954026" w:rsidRDefault="00954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F00F" w14:textId="77777777" w:rsidR="00E477D7" w:rsidRDefault="00E477D7" w:rsidP="009466B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CAEA9D0"/>
    <w:lvl w:ilvl="0">
      <w:start w:val="1"/>
      <w:numFmt w:val="bullet"/>
      <w:pStyle w:val="ListBullet"/>
      <w:lvlText w:val="•"/>
      <w:lvlJc w:val="left"/>
      <w:pPr>
        <w:tabs>
          <w:tab w:val="num" w:pos="360"/>
        </w:tabs>
        <w:ind w:left="216" w:hanging="216"/>
      </w:pPr>
      <w:rPr>
        <w:rFonts w:ascii="Times New Roman" w:hAnsi="Times New Roman" w:hint="default"/>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98649845">
    <w:abstractNumId w:val="2"/>
  </w:num>
  <w:num w:numId="2" w16cid:durableId="1113746101">
    <w:abstractNumId w:val="1"/>
  </w:num>
  <w:num w:numId="3" w16cid:durableId="1740710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209731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94BE8"/>
    <w:pPr>
      <w:ind w:left="720"/>
    </w:pPr>
    <w:rPr>
      <w:rFonts w:ascii="Calibri" w:eastAsia="Calibri" w:hAnsi="Calibri"/>
      <w:sz w:val="22"/>
      <w:szCs w:val="22"/>
    </w:rPr>
  </w:style>
  <w:style w:type="character" w:styleId="Hyperlink">
    <w:name w:val="Hyperlink"/>
    <w:rsid w:val="00594BE8"/>
    <w:rPr>
      <w:color w:val="0000FF"/>
      <w:u w:val="single"/>
    </w:rPr>
  </w:style>
  <w:style w:type="paragraph" w:styleId="NormalWeb">
    <w:name w:val="Normal (Web)"/>
    <w:basedOn w:val="Normal"/>
    <w:uiPriority w:val="99"/>
    <w:unhideWhenUsed/>
    <w:rsid w:val="00F57F6C"/>
    <w:pPr>
      <w:spacing w:before="100" w:beforeAutospacing="1" w:after="100" w:afterAutospacing="1"/>
    </w:pPr>
  </w:style>
  <w:style w:type="paragraph" w:styleId="BalloonText">
    <w:name w:val="Balloon Text"/>
    <w:basedOn w:val="Normal"/>
    <w:link w:val="BalloonTextChar"/>
    <w:uiPriority w:val="99"/>
    <w:semiHidden/>
    <w:unhideWhenUsed/>
    <w:rsid w:val="004C6E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E36"/>
    <w:rPr>
      <w:rFonts w:ascii="Segoe UI" w:hAnsi="Segoe UI" w:cs="Segoe UI"/>
      <w:sz w:val="18"/>
      <w:szCs w:val="18"/>
    </w:rPr>
  </w:style>
  <w:style w:type="character" w:styleId="CommentReference">
    <w:name w:val="annotation reference"/>
    <w:basedOn w:val="DefaultParagraphFont"/>
    <w:uiPriority w:val="99"/>
    <w:semiHidden/>
    <w:unhideWhenUsed/>
    <w:rsid w:val="00774FBB"/>
    <w:rPr>
      <w:sz w:val="16"/>
      <w:szCs w:val="16"/>
    </w:rPr>
  </w:style>
  <w:style w:type="paragraph" w:styleId="CommentText">
    <w:name w:val="annotation text"/>
    <w:basedOn w:val="Normal"/>
    <w:link w:val="CommentTextChar"/>
    <w:uiPriority w:val="99"/>
    <w:semiHidden/>
    <w:unhideWhenUsed/>
    <w:rsid w:val="00774FBB"/>
    <w:rPr>
      <w:sz w:val="20"/>
      <w:szCs w:val="20"/>
    </w:rPr>
  </w:style>
  <w:style w:type="character" w:customStyle="1" w:styleId="CommentTextChar">
    <w:name w:val="Comment Text Char"/>
    <w:basedOn w:val="DefaultParagraphFont"/>
    <w:link w:val="CommentText"/>
    <w:uiPriority w:val="99"/>
    <w:semiHidden/>
    <w:rsid w:val="00774FBB"/>
  </w:style>
  <w:style w:type="paragraph" w:styleId="CommentSubject">
    <w:name w:val="annotation subject"/>
    <w:basedOn w:val="CommentText"/>
    <w:next w:val="CommentText"/>
    <w:link w:val="CommentSubjectChar"/>
    <w:uiPriority w:val="99"/>
    <w:semiHidden/>
    <w:unhideWhenUsed/>
    <w:rsid w:val="00774FBB"/>
    <w:rPr>
      <w:b/>
      <w:bCs/>
    </w:rPr>
  </w:style>
  <w:style w:type="character" w:customStyle="1" w:styleId="CommentSubjectChar">
    <w:name w:val="Comment Subject Char"/>
    <w:basedOn w:val="CommentTextChar"/>
    <w:link w:val="CommentSubject"/>
    <w:uiPriority w:val="99"/>
    <w:semiHidden/>
    <w:rsid w:val="00774FBB"/>
    <w:rPr>
      <w:b/>
      <w:bCs/>
    </w:rPr>
  </w:style>
  <w:style w:type="character" w:styleId="UnresolvedMention">
    <w:name w:val="Unresolved Mention"/>
    <w:basedOn w:val="DefaultParagraphFont"/>
    <w:uiPriority w:val="99"/>
    <w:semiHidden/>
    <w:unhideWhenUsed/>
    <w:rsid w:val="009E4909"/>
    <w:rPr>
      <w:color w:val="605E5C"/>
      <w:shd w:val="clear" w:color="auto" w:fill="E1DFDD"/>
    </w:rPr>
  </w:style>
  <w:style w:type="paragraph" w:styleId="ListBullet">
    <w:name w:val="List Bullet"/>
    <w:basedOn w:val="Normal"/>
    <w:rsid w:val="00F5426A"/>
    <w:pPr>
      <w:numPr>
        <w:numId w:val="4"/>
      </w:numPr>
      <w:tabs>
        <w:tab w:val="left" w:pos="216"/>
      </w:tabs>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6449">
      <w:bodyDiv w:val="1"/>
      <w:marLeft w:val="0"/>
      <w:marRight w:val="0"/>
      <w:marTop w:val="0"/>
      <w:marBottom w:val="0"/>
      <w:divBdr>
        <w:top w:val="none" w:sz="0" w:space="0" w:color="auto"/>
        <w:left w:val="none" w:sz="0" w:space="0" w:color="auto"/>
        <w:bottom w:val="none" w:sz="0" w:space="0" w:color="auto"/>
        <w:right w:val="none" w:sz="0" w:space="0" w:color="auto"/>
      </w:divBdr>
    </w:div>
    <w:div w:id="339236451">
      <w:bodyDiv w:val="1"/>
      <w:marLeft w:val="0"/>
      <w:marRight w:val="0"/>
      <w:marTop w:val="0"/>
      <w:marBottom w:val="0"/>
      <w:divBdr>
        <w:top w:val="none" w:sz="0" w:space="0" w:color="auto"/>
        <w:left w:val="none" w:sz="0" w:space="0" w:color="auto"/>
        <w:bottom w:val="none" w:sz="0" w:space="0" w:color="auto"/>
        <w:right w:val="none" w:sz="0" w:space="0" w:color="auto"/>
      </w:divBdr>
    </w:div>
    <w:div w:id="425349267">
      <w:bodyDiv w:val="1"/>
      <w:marLeft w:val="0"/>
      <w:marRight w:val="0"/>
      <w:marTop w:val="0"/>
      <w:marBottom w:val="0"/>
      <w:divBdr>
        <w:top w:val="none" w:sz="0" w:space="0" w:color="auto"/>
        <w:left w:val="none" w:sz="0" w:space="0" w:color="auto"/>
        <w:bottom w:val="none" w:sz="0" w:space="0" w:color="auto"/>
        <w:right w:val="none" w:sz="0" w:space="0" w:color="auto"/>
      </w:divBdr>
    </w:div>
    <w:div w:id="783770558">
      <w:bodyDiv w:val="1"/>
      <w:marLeft w:val="0"/>
      <w:marRight w:val="0"/>
      <w:marTop w:val="0"/>
      <w:marBottom w:val="0"/>
      <w:divBdr>
        <w:top w:val="none" w:sz="0" w:space="0" w:color="auto"/>
        <w:left w:val="none" w:sz="0" w:space="0" w:color="auto"/>
        <w:bottom w:val="none" w:sz="0" w:space="0" w:color="auto"/>
        <w:right w:val="none" w:sz="0" w:space="0" w:color="auto"/>
      </w:divBdr>
    </w:div>
    <w:div w:id="812134239">
      <w:bodyDiv w:val="1"/>
      <w:marLeft w:val="0"/>
      <w:marRight w:val="0"/>
      <w:marTop w:val="0"/>
      <w:marBottom w:val="0"/>
      <w:divBdr>
        <w:top w:val="none" w:sz="0" w:space="0" w:color="auto"/>
        <w:left w:val="none" w:sz="0" w:space="0" w:color="auto"/>
        <w:bottom w:val="none" w:sz="0" w:space="0" w:color="auto"/>
        <w:right w:val="none" w:sz="0" w:space="0" w:color="auto"/>
      </w:divBdr>
    </w:div>
    <w:div w:id="1031346523">
      <w:bodyDiv w:val="1"/>
      <w:marLeft w:val="0"/>
      <w:marRight w:val="0"/>
      <w:marTop w:val="0"/>
      <w:marBottom w:val="0"/>
      <w:divBdr>
        <w:top w:val="none" w:sz="0" w:space="0" w:color="auto"/>
        <w:left w:val="none" w:sz="0" w:space="0" w:color="auto"/>
        <w:bottom w:val="none" w:sz="0" w:space="0" w:color="auto"/>
        <w:right w:val="none" w:sz="0" w:space="0" w:color="auto"/>
      </w:divBdr>
    </w:div>
    <w:div w:id="1297373658">
      <w:bodyDiv w:val="1"/>
      <w:marLeft w:val="0"/>
      <w:marRight w:val="0"/>
      <w:marTop w:val="0"/>
      <w:marBottom w:val="0"/>
      <w:divBdr>
        <w:top w:val="none" w:sz="0" w:space="0" w:color="auto"/>
        <w:left w:val="none" w:sz="0" w:space="0" w:color="auto"/>
        <w:bottom w:val="none" w:sz="0" w:space="0" w:color="auto"/>
        <w:right w:val="none" w:sz="0" w:space="0" w:color="auto"/>
      </w:divBdr>
    </w:div>
    <w:div w:id="158495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www.kenaiwetlands.net/"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18</TotalTime>
  <Pages>4</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17</cp:revision>
  <cp:lastPrinted>2015-09-11T19:36:00Z</cp:lastPrinted>
  <dcterms:created xsi:type="dcterms:W3CDTF">2022-04-04T22:41:00Z</dcterms:created>
  <dcterms:modified xsi:type="dcterms:W3CDTF">2025-02-12T09:42:09Z</dcterms:modified>
</cp:coreProperties>
</file>