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33D85" w14:textId="5C8FEB09" w:rsidR="00AE2E20" w:rsidRPr="00F62AF3" w:rsidRDefault="00F62AF3" w:rsidP="00F62AF3">
      <w:pPr>
        <w:pStyle w:val="Title"/>
        <w:rPr>
          <w:sz w:val="32"/>
          <w:szCs w:val="32"/>
        </w:rPr>
      </w:pPr>
      <w:r w:rsidRPr="00F62AF3">
        <w:rPr>
          <w:sz w:val="32"/>
          <w:szCs w:val="32"/>
        </w:rPr>
        <w:t>Wildfire Potential Assessment, now and in the future, for the Northwoods</w:t>
      </w:r>
    </w:p>
    <w:p w14:paraId="50810033" w14:textId="37CC6BF9" w:rsidR="00811910" w:rsidRDefault="00F62AF3" w:rsidP="00811910">
      <w:pPr>
        <w:pStyle w:val="NoSpacing"/>
      </w:pPr>
      <w:r>
        <w:t>June</w:t>
      </w:r>
      <w:r w:rsidR="00811910">
        <w:t xml:space="preserve"> 24,</w:t>
      </w:r>
      <w:r>
        <w:t xml:space="preserve"> 2025</w:t>
      </w:r>
    </w:p>
    <w:p w14:paraId="567A224F" w14:textId="7B532BC3" w:rsidR="00811910" w:rsidRDefault="00811910" w:rsidP="00811910">
      <w:pPr>
        <w:pStyle w:val="NoSpacing"/>
      </w:pPr>
      <w:r>
        <w:t>Initial draft by Randy Swaty</w:t>
      </w:r>
    </w:p>
    <w:p w14:paraId="65DA2C24" w14:textId="77777777" w:rsidR="0055048C" w:rsidRDefault="0055048C" w:rsidP="00811910">
      <w:pPr>
        <w:pStyle w:val="NoSpacing"/>
      </w:pPr>
    </w:p>
    <w:sdt>
      <w:sdtPr>
        <w:id w:val="942740518"/>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421B72EF" w14:textId="0777DAFF" w:rsidR="0055048C" w:rsidRDefault="0055048C">
          <w:pPr>
            <w:pStyle w:val="TOCHeading"/>
          </w:pPr>
          <w:r>
            <w:t>Contents</w:t>
          </w:r>
        </w:p>
        <w:p w14:paraId="1D3C0C90" w14:textId="12474064" w:rsidR="00876726" w:rsidRDefault="0055048C">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201667049" w:history="1">
            <w:r w:rsidR="00876726" w:rsidRPr="00A44C69">
              <w:rPr>
                <w:rStyle w:val="Hyperlink"/>
                <w:noProof/>
              </w:rPr>
              <w:t>Issue and Opportunity</w:t>
            </w:r>
            <w:r w:rsidR="00876726">
              <w:rPr>
                <w:noProof/>
                <w:webHidden/>
              </w:rPr>
              <w:tab/>
            </w:r>
            <w:r w:rsidR="00876726">
              <w:rPr>
                <w:noProof/>
                <w:webHidden/>
              </w:rPr>
              <w:fldChar w:fldCharType="begin"/>
            </w:r>
            <w:r w:rsidR="00876726">
              <w:rPr>
                <w:noProof/>
                <w:webHidden/>
              </w:rPr>
              <w:instrText xml:space="preserve"> PAGEREF _Toc201667049 \h </w:instrText>
            </w:r>
            <w:r w:rsidR="00876726">
              <w:rPr>
                <w:noProof/>
                <w:webHidden/>
              </w:rPr>
            </w:r>
            <w:r w:rsidR="00876726">
              <w:rPr>
                <w:noProof/>
                <w:webHidden/>
              </w:rPr>
              <w:fldChar w:fldCharType="separate"/>
            </w:r>
            <w:r w:rsidR="00876726">
              <w:rPr>
                <w:noProof/>
                <w:webHidden/>
              </w:rPr>
              <w:t>1</w:t>
            </w:r>
            <w:r w:rsidR="00876726">
              <w:rPr>
                <w:noProof/>
                <w:webHidden/>
              </w:rPr>
              <w:fldChar w:fldCharType="end"/>
            </w:r>
          </w:hyperlink>
        </w:p>
        <w:p w14:paraId="23BAABBC" w14:textId="75DE73C8" w:rsidR="00876726" w:rsidRDefault="00876726">
          <w:pPr>
            <w:pStyle w:val="TOC2"/>
            <w:tabs>
              <w:tab w:val="right" w:leader="dot" w:pos="9350"/>
            </w:tabs>
            <w:rPr>
              <w:rFonts w:eastAsiaTheme="minorEastAsia"/>
              <w:noProof/>
            </w:rPr>
          </w:pPr>
          <w:hyperlink w:anchor="_Toc201667050" w:history="1">
            <w:r w:rsidRPr="00A44C69">
              <w:rPr>
                <w:rStyle w:val="Hyperlink"/>
                <w:noProof/>
              </w:rPr>
              <w:t>Understanding the current situation</w:t>
            </w:r>
            <w:r>
              <w:rPr>
                <w:noProof/>
                <w:webHidden/>
              </w:rPr>
              <w:tab/>
            </w:r>
            <w:r>
              <w:rPr>
                <w:noProof/>
                <w:webHidden/>
              </w:rPr>
              <w:fldChar w:fldCharType="begin"/>
            </w:r>
            <w:r>
              <w:rPr>
                <w:noProof/>
                <w:webHidden/>
              </w:rPr>
              <w:instrText xml:space="preserve"> PAGEREF _Toc201667050 \h </w:instrText>
            </w:r>
            <w:r>
              <w:rPr>
                <w:noProof/>
                <w:webHidden/>
              </w:rPr>
            </w:r>
            <w:r>
              <w:rPr>
                <w:noProof/>
                <w:webHidden/>
              </w:rPr>
              <w:fldChar w:fldCharType="separate"/>
            </w:r>
            <w:r>
              <w:rPr>
                <w:noProof/>
                <w:webHidden/>
              </w:rPr>
              <w:t>2</w:t>
            </w:r>
            <w:r>
              <w:rPr>
                <w:noProof/>
                <w:webHidden/>
              </w:rPr>
              <w:fldChar w:fldCharType="end"/>
            </w:r>
          </w:hyperlink>
        </w:p>
        <w:p w14:paraId="4B5B0059" w14:textId="36EED05D" w:rsidR="00876726" w:rsidRDefault="00876726">
          <w:pPr>
            <w:pStyle w:val="TOC2"/>
            <w:tabs>
              <w:tab w:val="right" w:leader="dot" w:pos="9350"/>
            </w:tabs>
            <w:rPr>
              <w:rFonts w:eastAsiaTheme="minorEastAsia"/>
              <w:noProof/>
            </w:rPr>
          </w:pPr>
          <w:hyperlink w:anchor="_Toc201667051" w:history="1">
            <w:r w:rsidRPr="00A44C69">
              <w:rPr>
                <w:rStyle w:val="Hyperlink"/>
                <w:noProof/>
              </w:rPr>
              <w:t>Methods and data to get at the current situation</w:t>
            </w:r>
            <w:r>
              <w:rPr>
                <w:noProof/>
                <w:webHidden/>
              </w:rPr>
              <w:tab/>
            </w:r>
            <w:r>
              <w:rPr>
                <w:noProof/>
                <w:webHidden/>
              </w:rPr>
              <w:fldChar w:fldCharType="begin"/>
            </w:r>
            <w:r>
              <w:rPr>
                <w:noProof/>
                <w:webHidden/>
              </w:rPr>
              <w:instrText xml:space="preserve"> PAGEREF _Toc201667051 \h </w:instrText>
            </w:r>
            <w:r>
              <w:rPr>
                <w:noProof/>
                <w:webHidden/>
              </w:rPr>
            </w:r>
            <w:r>
              <w:rPr>
                <w:noProof/>
                <w:webHidden/>
              </w:rPr>
              <w:fldChar w:fldCharType="separate"/>
            </w:r>
            <w:r>
              <w:rPr>
                <w:noProof/>
                <w:webHidden/>
              </w:rPr>
              <w:t>2</w:t>
            </w:r>
            <w:r>
              <w:rPr>
                <w:noProof/>
                <w:webHidden/>
              </w:rPr>
              <w:fldChar w:fldCharType="end"/>
            </w:r>
          </w:hyperlink>
        </w:p>
        <w:p w14:paraId="7D2920E2" w14:textId="00A67B40" w:rsidR="00876726" w:rsidRDefault="00876726">
          <w:pPr>
            <w:pStyle w:val="TOC2"/>
            <w:tabs>
              <w:tab w:val="right" w:leader="dot" w:pos="9350"/>
            </w:tabs>
            <w:rPr>
              <w:rFonts w:eastAsiaTheme="minorEastAsia"/>
              <w:noProof/>
            </w:rPr>
          </w:pPr>
          <w:hyperlink w:anchor="_Toc201667052" w:history="1">
            <w:r w:rsidRPr="00A44C69">
              <w:rPr>
                <w:rStyle w:val="Hyperlink"/>
                <w:noProof/>
              </w:rPr>
              <w:t>Looking forward</w:t>
            </w:r>
            <w:r>
              <w:rPr>
                <w:noProof/>
                <w:webHidden/>
              </w:rPr>
              <w:tab/>
            </w:r>
            <w:r>
              <w:rPr>
                <w:noProof/>
                <w:webHidden/>
              </w:rPr>
              <w:fldChar w:fldCharType="begin"/>
            </w:r>
            <w:r>
              <w:rPr>
                <w:noProof/>
                <w:webHidden/>
              </w:rPr>
              <w:instrText xml:space="preserve"> PAGEREF _Toc201667052 \h </w:instrText>
            </w:r>
            <w:r>
              <w:rPr>
                <w:noProof/>
                <w:webHidden/>
              </w:rPr>
            </w:r>
            <w:r>
              <w:rPr>
                <w:noProof/>
                <w:webHidden/>
              </w:rPr>
              <w:fldChar w:fldCharType="separate"/>
            </w:r>
            <w:r>
              <w:rPr>
                <w:noProof/>
                <w:webHidden/>
              </w:rPr>
              <w:t>2</w:t>
            </w:r>
            <w:r>
              <w:rPr>
                <w:noProof/>
                <w:webHidden/>
              </w:rPr>
              <w:fldChar w:fldCharType="end"/>
            </w:r>
          </w:hyperlink>
        </w:p>
        <w:p w14:paraId="32150EAC" w14:textId="2DDF740A" w:rsidR="0055048C" w:rsidRDefault="0055048C">
          <w:r>
            <w:rPr>
              <w:b/>
              <w:bCs/>
              <w:noProof/>
            </w:rPr>
            <w:fldChar w:fldCharType="end"/>
          </w:r>
        </w:p>
      </w:sdtContent>
    </w:sdt>
    <w:p w14:paraId="067967C7" w14:textId="77777777" w:rsidR="0055048C" w:rsidRDefault="0055048C" w:rsidP="00811910">
      <w:pPr>
        <w:pStyle w:val="NoSpacing"/>
      </w:pPr>
    </w:p>
    <w:p w14:paraId="5968C298" w14:textId="551B3D2A" w:rsidR="0055048C" w:rsidRDefault="002E1152" w:rsidP="00811910">
      <w:pPr>
        <w:pStyle w:val="NoSpacing"/>
        <w:rPr>
          <w:b/>
          <w:bCs/>
        </w:rPr>
      </w:pPr>
      <w:r>
        <w:rPr>
          <w:b/>
          <w:bCs/>
        </w:rPr>
        <w:t>NOTE</w:t>
      </w:r>
      <w:r w:rsidR="00876726">
        <w:rPr>
          <w:b/>
          <w:bCs/>
        </w:rPr>
        <w:t>: this document is incomplete and intended as a starting point as of June 24, 2025.  The approach will evolve with literature review and feedback.</w:t>
      </w:r>
    </w:p>
    <w:p w14:paraId="3D9DBC56" w14:textId="77777777" w:rsidR="00876726" w:rsidRPr="002E1152" w:rsidRDefault="00876726" w:rsidP="00811910">
      <w:pPr>
        <w:pStyle w:val="NoSpacing"/>
        <w:rPr>
          <w:b/>
          <w:bCs/>
        </w:rPr>
      </w:pPr>
    </w:p>
    <w:p w14:paraId="60E76840" w14:textId="3204DCCB" w:rsidR="00F62AF3" w:rsidRDefault="00F62AF3" w:rsidP="00F62AF3">
      <w:pPr>
        <w:pStyle w:val="Heading2"/>
      </w:pPr>
      <w:bookmarkStart w:id="0" w:name="_Toc201667049"/>
      <w:r>
        <w:t>Issue and Opportunity</w:t>
      </w:r>
      <w:bookmarkEnd w:id="0"/>
    </w:p>
    <w:p w14:paraId="620C0A91" w14:textId="1D8C8B4F" w:rsidR="00F62AF3" w:rsidRDefault="00E43B23" w:rsidP="00F62AF3">
      <w:r>
        <w:t xml:space="preserve">Prior to European Colonization, the Northwoods region had many areas with Mean Fire Return Intervals of less than 100 years (see map 1).  In the last 100 years fire suppression in the area has been extremely effective meaning that many of these areas have missed at least one, and often many more natural fires.  </w:t>
      </w:r>
      <w:r w:rsidR="00D34789">
        <w:t xml:space="preserve">While there has been the conversion of some of these areas </w:t>
      </w:r>
      <w:proofErr w:type="gramStart"/>
      <w:r w:rsidR="00D34789">
        <w:t>to</w:t>
      </w:r>
      <w:proofErr w:type="gramEnd"/>
      <w:r w:rsidR="00D34789">
        <w:t xml:space="preserve"> non-natural land cover (e.g., agriculture and development), many of these ecosystems remain, although in an altered state.  Some of these areas have a build up of </w:t>
      </w:r>
      <w:proofErr w:type="gramStart"/>
      <w:r w:rsidR="00D34789">
        <w:t>fuels</w:t>
      </w:r>
      <w:proofErr w:type="gramEnd"/>
      <w:r w:rsidR="00D34789">
        <w:t xml:space="preserve">, some have been invaded by plants that are less fire-adapted than more ecosystem-indicative plans and most </w:t>
      </w:r>
      <w:proofErr w:type="gramStart"/>
      <w:r w:rsidR="00D34789">
        <w:t>are in need of</w:t>
      </w:r>
      <w:proofErr w:type="gramEnd"/>
      <w:r w:rsidR="00D34789">
        <w:t xml:space="preserve"> some sort of adaptive management.  Not only have these changes resulted in altered ecosystem structure and function, </w:t>
      </w:r>
      <w:proofErr w:type="gramStart"/>
      <w:r w:rsidR="00D34789">
        <w:t>some areas are</w:t>
      </w:r>
      <w:proofErr w:type="gramEnd"/>
      <w:r w:rsidR="00D34789">
        <w:t xml:space="preserve"> likely to be more prone to destructive wildfires.</w:t>
      </w:r>
    </w:p>
    <w:p w14:paraId="44EFF84F" w14:textId="787A85E3" w:rsidR="00D34789" w:rsidRDefault="00D34789" w:rsidP="00F62AF3">
      <w:r>
        <w:t xml:space="preserve">It can be costly to manage these fire adapted ecosystems, and with climate change there is an urgent need to act.  Those and other factors mean we need to prioritize what to do where to prevent those destructive wildfires, and to assess how </w:t>
      </w:r>
      <w:r w:rsidR="00811910">
        <w:t>climate change might change those priorities-that is what this proposal is about.</w:t>
      </w:r>
    </w:p>
    <w:p w14:paraId="7E54570B" w14:textId="25182B07" w:rsidR="00811910" w:rsidRDefault="00811910" w:rsidP="00F62AF3">
      <w:r>
        <w:t>We have an opportunity to not only assess where to act, but also to:</w:t>
      </w:r>
    </w:p>
    <w:p w14:paraId="0B277C3C" w14:textId="277465AF" w:rsidR="00811910" w:rsidRDefault="00811910" w:rsidP="00811910">
      <w:pPr>
        <w:pStyle w:val="ListParagraph"/>
        <w:numPr>
          <w:ilvl w:val="0"/>
          <w:numId w:val="1"/>
        </w:numPr>
      </w:pPr>
      <w:r>
        <w:t>Set the stage for more robust assessments</w:t>
      </w:r>
    </w:p>
    <w:p w14:paraId="03C8253A" w14:textId="618FB2DA" w:rsidR="00811910" w:rsidRDefault="00811910" w:rsidP="00811910">
      <w:pPr>
        <w:pStyle w:val="ListParagraph"/>
        <w:numPr>
          <w:ilvl w:val="0"/>
          <w:numId w:val="1"/>
        </w:numPr>
      </w:pPr>
      <w:r>
        <w:t>Develop HUB-friendly metrics</w:t>
      </w:r>
      <w:r w:rsidR="0055048C">
        <w:t xml:space="preserve"> (and/or thinking)</w:t>
      </w:r>
      <w:r>
        <w:t xml:space="preserve"> for Improved Management of Lands, condition, durability and </w:t>
      </w:r>
      <w:r w:rsidR="0055048C">
        <w:t>sufficiency</w:t>
      </w:r>
    </w:p>
    <w:p w14:paraId="03E96239" w14:textId="7F621CDB" w:rsidR="0055048C" w:rsidRDefault="0055048C" w:rsidP="00811910">
      <w:pPr>
        <w:pStyle w:val="ListParagraph"/>
        <w:numPr>
          <w:ilvl w:val="0"/>
          <w:numId w:val="1"/>
        </w:numPr>
      </w:pPr>
      <w:r>
        <w:lastRenderedPageBreak/>
        <w:t>Bring together a broader coalition of ‘the willing’</w:t>
      </w:r>
    </w:p>
    <w:p w14:paraId="5443DCA5" w14:textId="72F65B00" w:rsidR="0055048C" w:rsidRDefault="0055048C" w:rsidP="0055048C">
      <w:pPr>
        <w:pStyle w:val="ListParagraph"/>
        <w:numPr>
          <w:ilvl w:val="0"/>
          <w:numId w:val="1"/>
        </w:numPr>
      </w:pPr>
      <w:r>
        <w:t xml:space="preserve">Gain a better understanding of the current fire management situation </w:t>
      </w:r>
    </w:p>
    <w:p w14:paraId="6314561F" w14:textId="634AE614" w:rsidR="0055048C" w:rsidRDefault="0055048C" w:rsidP="0055048C">
      <w:pPr>
        <w:pStyle w:val="Heading2"/>
      </w:pPr>
      <w:bookmarkStart w:id="1" w:name="_Toc201667050"/>
      <w:r>
        <w:t xml:space="preserve">Understanding the current </w:t>
      </w:r>
      <w:r w:rsidR="00CA0407">
        <w:t>situation</w:t>
      </w:r>
      <w:bookmarkEnd w:id="1"/>
    </w:p>
    <w:p w14:paraId="7EF4F985" w14:textId="0235D349" w:rsidR="0055048C" w:rsidRDefault="0055048C" w:rsidP="0055048C">
      <w:r>
        <w:t xml:space="preserve">There are multiple factors to consider </w:t>
      </w:r>
      <w:proofErr w:type="gramStart"/>
      <w:r>
        <w:t>with regard to</w:t>
      </w:r>
      <w:proofErr w:type="gramEnd"/>
      <w:r>
        <w:t xml:space="preserve"> the current situation including spatial arrangement of ecosystems, suite of fire management organizations, where values at risk (e.g., people, structures and fire-sensitive ecosystems) are, and if there are emerging threats/opportunities.  </w:t>
      </w:r>
    </w:p>
    <w:p w14:paraId="7FB80B56" w14:textId="77777777" w:rsidR="00CA0407" w:rsidRDefault="00CA0407" w:rsidP="0055048C"/>
    <w:p w14:paraId="27E280A5" w14:textId="05523338" w:rsidR="00CA0407" w:rsidRDefault="00CA0407" w:rsidP="00876726">
      <w:pPr>
        <w:pStyle w:val="Heading2"/>
      </w:pPr>
      <w:bookmarkStart w:id="2" w:name="_Toc201667051"/>
      <w:r>
        <w:t>Methods and data to get at the current situation</w:t>
      </w:r>
      <w:bookmarkEnd w:id="2"/>
    </w:p>
    <w:p w14:paraId="7F819829" w14:textId="1BC361CF" w:rsidR="00CA0407" w:rsidRDefault="00CA0407" w:rsidP="00CA0407">
      <w:r>
        <w:t>We will not be collecting new data for this effort, rather we will leverage expert knowledge and existing data.  For example:</w:t>
      </w:r>
    </w:p>
    <w:p w14:paraId="63BE241A" w14:textId="5317E6FF" w:rsidR="00CA0407" w:rsidRDefault="00CA0407" w:rsidP="00CA0407">
      <w:pPr>
        <w:pStyle w:val="ListParagraph"/>
        <w:numPr>
          <w:ilvl w:val="0"/>
          <w:numId w:val="2"/>
        </w:numPr>
      </w:pPr>
      <w:r>
        <w:t xml:space="preserve">We can use methods of </w:t>
      </w:r>
      <w:hyperlink r:id="rId6" w:history="1">
        <w:r w:rsidRPr="00CA0407">
          <w:rPr>
            <w:rStyle w:val="Hyperlink"/>
          </w:rPr>
          <w:t>Beverly et al., (2021)</w:t>
        </w:r>
      </w:hyperlink>
      <w:r>
        <w:t xml:space="preserve"> and LANDFIRE’s Existing Vegetation Type to map “Wildfire Exposure Risk”.  Robert </w:t>
      </w:r>
      <w:proofErr w:type="spellStart"/>
      <w:r>
        <w:t>Zeil</w:t>
      </w:r>
      <w:proofErr w:type="spellEnd"/>
      <w:r>
        <w:t xml:space="preserve"> has piloted this process in the Camp Greyling area; Silas Pickhard and </w:t>
      </w:r>
      <w:proofErr w:type="spellStart"/>
      <w:r>
        <w:t>Zeil</w:t>
      </w:r>
      <w:proofErr w:type="spellEnd"/>
      <w:r>
        <w:t xml:space="preserve"> in the central Upper Peninsula (see map 2</w:t>
      </w:r>
      <w:r w:rsidR="000331A0">
        <w:t xml:space="preserve">, and </w:t>
      </w:r>
      <w:hyperlink r:id="rId7" w:history="1">
        <w:r w:rsidR="000331A0" w:rsidRPr="000331A0">
          <w:rPr>
            <w:rStyle w:val="Hyperlink"/>
          </w:rPr>
          <w:t>https://conservation-data-lab.github.io/cup_assessment/fire.html</w:t>
        </w:r>
        <w:r w:rsidRPr="000331A0">
          <w:rPr>
            <w:rStyle w:val="Hyperlink"/>
          </w:rPr>
          <w:t xml:space="preserve">). </w:t>
        </w:r>
      </w:hyperlink>
      <w:r>
        <w:t xml:space="preserve"> We can couple this approach with </w:t>
      </w:r>
      <w:proofErr w:type="gramStart"/>
      <w:r>
        <w:t>recent-past</w:t>
      </w:r>
      <w:proofErr w:type="gramEnd"/>
      <w:r>
        <w:t xml:space="preserve"> wildfire occurrences to </w:t>
      </w:r>
      <w:proofErr w:type="gramStart"/>
      <w:r>
        <w:t>help</w:t>
      </w:r>
      <w:proofErr w:type="gramEnd"/>
      <w:r>
        <w:t xml:space="preserve"> understand where wildfires are happening, and where they are likely.  This is just one approach.  </w:t>
      </w:r>
    </w:p>
    <w:p w14:paraId="4FFBA9AD" w14:textId="680BDFF4" w:rsidR="00CA0407" w:rsidRDefault="00CA0407" w:rsidP="00CA0407">
      <w:pPr>
        <w:pStyle w:val="ListParagraph"/>
        <w:numPr>
          <w:ilvl w:val="0"/>
          <w:numId w:val="2"/>
        </w:numPr>
      </w:pPr>
      <w:hyperlink r:id="rId8" w:history="1">
        <w:r w:rsidRPr="00CA0407">
          <w:rPr>
            <w:rStyle w:val="Hyperlink"/>
          </w:rPr>
          <w:t>Dillon et al., (2024)</w:t>
        </w:r>
      </w:hyperlink>
      <w:r>
        <w:t xml:space="preserve"> has mapped Wildfire Hazard Potential, a metric that depicts the probability of a pixel experiencing a fire that is difficult to contain.  This already existing dataset is invaluable for understanding the wildfire landscape.  Randy and TNC’s LANDFIRE team </w:t>
      </w:r>
      <w:r w:rsidR="002E1152">
        <w:t>collaborate</w:t>
      </w:r>
      <w:r>
        <w:t xml:space="preserve"> with Greg Dillon, so learning more about this data and its use is straightforward.</w:t>
      </w:r>
    </w:p>
    <w:p w14:paraId="3FCE9496" w14:textId="7C7A2B0B" w:rsidR="00CA0407" w:rsidRDefault="00CA0407" w:rsidP="00CA0407">
      <w:pPr>
        <w:pStyle w:val="ListParagraph"/>
        <w:numPr>
          <w:ilvl w:val="0"/>
          <w:numId w:val="2"/>
        </w:numPr>
      </w:pPr>
      <w:r>
        <w:t xml:space="preserve">TNC has amazing relationships with governmental agencies at all levels, a wide array of academics and a growing list of tribes.  Collaborating with partners will </w:t>
      </w:r>
      <w:r w:rsidR="000331A0">
        <w:t>offer potential for product review, and more importantly case studies and experiences.</w:t>
      </w:r>
      <w:r>
        <w:t xml:space="preserve"> </w:t>
      </w:r>
    </w:p>
    <w:p w14:paraId="5CB20C98" w14:textId="0A796AF4" w:rsidR="00876726" w:rsidRDefault="00876726" w:rsidP="00CA0407">
      <w:pPr>
        <w:pStyle w:val="ListParagraph"/>
        <w:numPr>
          <w:ilvl w:val="0"/>
          <w:numId w:val="2"/>
        </w:numPr>
      </w:pPr>
      <w:r>
        <w:t>Additionally, relevant literature will be mined to document the current situation.</w:t>
      </w:r>
    </w:p>
    <w:p w14:paraId="677D77DD" w14:textId="77777777" w:rsidR="00876726" w:rsidRDefault="00876726" w:rsidP="00876726"/>
    <w:p w14:paraId="3121C9FA" w14:textId="342CCFAE" w:rsidR="00876726" w:rsidRDefault="00876726" w:rsidP="00876726">
      <w:pPr>
        <w:pStyle w:val="Heading2"/>
      </w:pPr>
      <w:bookmarkStart w:id="3" w:name="_Toc201667052"/>
      <w:r>
        <w:t>Looking forward</w:t>
      </w:r>
      <w:bookmarkEnd w:id="3"/>
    </w:p>
    <w:p w14:paraId="3D22FBBB" w14:textId="566C6EC1" w:rsidR="00876726" w:rsidRDefault="00876726" w:rsidP="00876726">
      <w:r>
        <w:t xml:space="preserve">Our ecosystems are changing due to multiple factors climate change, land management (including harvest, and fire suppression) and invasive species.  While predicting exactly what will happen when and where, we intend to use literature, expert knowledge and modeling to explore potential patterns.  </w:t>
      </w:r>
    </w:p>
    <w:p w14:paraId="65ED2D6E" w14:textId="1DEA2E9B" w:rsidR="00876726" w:rsidRDefault="00876726" w:rsidP="00876726">
      <w:r>
        <w:t>Possible approaches/tools include:</w:t>
      </w:r>
    </w:p>
    <w:p w14:paraId="7F28E877" w14:textId="0430F102" w:rsidR="00876726" w:rsidRDefault="00876726" w:rsidP="00876726">
      <w:pPr>
        <w:pStyle w:val="ListParagraph"/>
        <w:numPr>
          <w:ilvl w:val="0"/>
          <w:numId w:val="3"/>
        </w:numPr>
      </w:pPr>
      <w:r>
        <w:lastRenderedPageBreak/>
        <w:t>In his assessment of wildfire risk at Camp Greyling, Robert Ziel calculated and mapped Wildfire Exposure Risk (WFR) for 3 conditions: spring (“pre-green up”), fall, and drought.  Using similar approaches, we could assess changing climate conditions.</w:t>
      </w:r>
    </w:p>
    <w:p w14:paraId="158BAE52" w14:textId="40AA8068" w:rsidR="00876726" w:rsidRDefault="00876726" w:rsidP="00876726">
      <w:pPr>
        <w:pStyle w:val="ListParagraph"/>
        <w:numPr>
          <w:ilvl w:val="0"/>
          <w:numId w:val="3"/>
        </w:numPr>
      </w:pPr>
      <w:r>
        <w:t xml:space="preserve">LANDFIRE developed ‘reference condition’ state-and-transition models for all ecosystems of the United States using </w:t>
      </w:r>
      <w:proofErr w:type="spellStart"/>
      <w:r>
        <w:t>SyncroSim</w:t>
      </w:r>
      <w:proofErr w:type="spellEnd"/>
      <w:r>
        <w:t xml:space="preserve">.  Multiple Nature Conservancy teams across the US have used </w:t>
      </w:r>
      <w:proofErr w:type="spellStart"/>
      <w:r>
        <w:t>SyncroSim</w:t>
      </w:r>
      <w:proofErr w:type="spellEnd"/>
      <w:r>
        <w:t xml:space="preserve"> to assess impacts of potential management regimes</w:t>
      </w:r>
      <w:r w:rsidR="00DD3453">
        <w:t>.  The basic process is to:</w:t>
      </w:r>
    </w:p>
    <w:p w14:paraId="55739FDC" w14:textId="653AFDAB" w:rsidR="00DD3453" w:rsidRDefault="00DD3453" w:rsidP="00DD3453">
      <w:pPr>
        <w:pStyle w:val="ListParagraph"/>
        <w:numPr>
          <w:ilvl w:val="1"/>
          <w:numId w:val="3"/>
        </w:numPr>
      </w:pPr>
      <w:r>
        <w:t xml:space="preserve">Update the models with current disturbance regimes and state classes (e.g., adding plantations, </w:t>
      </w:r>
      <w:proofErr w:type="spellStart"/>
      <w:r>
        <w:t>mesophication</w:t>
      </w:r>
      <w:proofErr w:type="spellEnd"/>
      <w:r>
        <w:t xml:space="preserve"> of oak forests, etc.).</w:t>
      </w:r>
    </w:p>
    <w:p w14:paraId="7C9C821C" w14:textId="25BBCFF8" w:rsidR="00DD3453" w:rsidRDefault="00DD3453" w:rsidP="00DD3453">
      <w:pPr>
        <w:pStyle w:val="ListParagraph"/>
        <w:numPr>
          <w:ilvl w:val="1"/>
          <w:numId w:val="3"/>
        </w:numPr>
      </w:pPr>
      <w:r>
        <w:t>Work with partners to develop a limited and plausible set of management scenarios such as ‘Business as Usual’ and ‘Ecological Focus’.</w:t>
      </w:r>
    </w:p>
    <w:p w14:paraId="1C7EC0E7" w14:textId="07352B3E" w:rsidR="00DD3453" w:rsidRDefault="00DD3453" w:rsidP="00DD3453">
      <w:pPr>
        <w:pStyle w:val="ListParagraph"/>
        <w:numPr>
          <w:ilvl w:val="1"/>
          <w:numId w:val="3"/>
        </w:numPr>
      </w:pPr>
      <w:r>
        <w:t xml:space="preserve">Model out scenarios in </w:t>
      </w:r>
      <w:proofErr w:type="spellStart"/>
      <w:r>
        <w:t>SyncroSim</w:t>
      </w:r>
      <w:proofErr w:type="spellEnd"/>
      <w:r>
        <w:t>, obtain feedback, then iterate.</w:t>
      </w:r>
    </w:p>
    <w:p w14:paraId="36C85D51" w14:textId="436F0647" w:rsidR="00DD3453" w:rsidRPr="00876726" w:rsidRDefault="00DD3453" w:rsidP="00DD3453">
      <w:pPr>
        <w:pStyle w:val="ListParagraph"/>
      </w:pPr>
      <w:r>
        <w:t xml:space="preserve">A full modeling exercise is probably beyond the scope of this </w:t>
      </w:r>
      <w:proofErr w:type="gramStart"/>
      <w:r>
        <w:t>project,</w:t>
      </w:r>
      <w:proofErr w:type="gramEnd"/>
      <w:r>
        <w:t xml:space="preserve"> however it could be piloted with a selected set of ecosystems/scenarios.  </w:t>
      </w:r>
    </w:p>
    <w:p w14:paraId="39791E02" w14:textId="77777777" w:rsidR="00811910" w:rsidRPr="00F62AF3" w:rsidRDefault="00811910" w:rsidP="00F62AF3"/>
    <w:p w14:paraId="4CD9F2E3" w14:textId="7EC93985" w:rsidR="00F62AF3" w:rsidRDefault="00F62AF3" w:rsidP="00F62AF3"/>
    <w:p w14:paraId="11035255" w14:textId="5D9F0AAC" w:rsidR="00F62AF3" w:rsidRDefault="00F62AF3" w:rsidP="00F62AF3"/>
    <w:p w14:paraId="357CB97C" w14:textId="0A07F824" w:rsidR="00F62AF3" w:rsidRDefault="00E43B23" w:rsidP="0055048C">
      <w:r>
        <w:rPr>
          <w:noProof/>
        </w:rPr>
        <w:lastRenderedPageBreak/>
        <w:drawing>
          <wp:inline distT="0" distB="0" distL="0" distR="0" wp14:anchorId="31F028A5" wp14:editId="02A5A897">
            <wp:extent cx="5934075" cy="4581525"/>
            <wp:effectExtent l="0" t="0" r="9525" b="9525"/>
            <wp:docPr id="161854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4075" cy="4581525"/>
                    </a:xfrm>
                    <a:prstGeom prst="rect">
                      <a:avLst/>
                    </a:prstGeom>
                    <a:noFill/>
                    <a:ln>
                      <a:noFill/>
                    </a:ln>
                  </pic:spPr>
                </pic:pic>
              </a:graphicData>
            </a:graphic>
          </wp:inline>
        </w:drawing>
      </w:r>
    </w:p>
    <w:p w14:paraId="0512A2CF" w14:textId="77777777" w:rsidR="00CA0407" w:rsidRDefault="00CA0407" w:rsidP="0055048C"/>
    <w:p w14:paraId="14851226" w14:textId="6F110780" w:rsidR="00CA0407" w:rsidRPr="00F62AF3" w:rsidRDefault="00CA0407" w:rsidP="0055048C">
      <w:r>
        <w:rPr>
          <w:noProof/>
        </w:rPr>
        <w:lastRenderedPageBreak/>
        <w:drawing>
          <wp:inline distT="0" distB="0" distL="0" distR="0" wp14:anchorId="0A449032" wp14:editId="2AB6675F">
            <wp:extent cx="5934075" cy="4581525"/>
            <wp:effectExtent l="19050" t="19050" r="28575" b="28575"/>
            <wp:docPr id="9519041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4075" cy="4581525"/>
                    </a:xfrm>
                    <a:prstGeom prst="rect">
                      <a:avLst/>
                    </a:prstGeom>
                    <a:noFill/>
                    <a:ln>
                      <a:solidFill>
                        <a:schemeClr val="tx1">
                          <a:lumMod val="50000"/>
                          <a:lumOff val="50000"/>
                        </a:schemeClr>
                      </a:solidFill>
                    </a:ln>
                  </pic:spPr>
                </pic:pic>
              </a:graphicData>
            </a:graphic>
          </wp:inline>
        </w:drawing>
      </w:r>
    </w:p>
    <w:sectPr w:rsidR="00CA0407" w:rsidRPr="00F62A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B90729"/>
    <w:multiLevelType w:val="hybridMultilevel"/>
    <w:tmpl w:val="2B885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A00D06"/>
    <w:multiLevelType w:val="hybridMultilevel"/>
    <w:tmpl w:val="EF60DD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4B7842"/>
    <w:multiLevelType w:val="hybridMultilevel"/>
    <w:tmpl w:val="EC4499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545758">
    <w:abstractNumId w:val="1"/>
  </w:num>
  <w:num w:numId="2" w16cid:durableId="1852986156">
    <w:abstractNumId w:val="0"/>
  </w:num>
  <w:num w:numId="3" w16cid:durableId="19510082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E20"/>
    <w:rsid w:val="000331A0"/>
    <w:rsid w:val="002E1152"/>
    <w:rsid w:val="0055048C"/>
    <w:rsid w:val="007D04BF"/>
    <w:rsid w:val="00811910"/>
    <w:rsid w:val="00876726"/>
    <w:rsid w:val="00AE2E20"/>
    <w:rsid w:val="00CA0407"/>
    <w:rsid w:val="00D34789"/>
    <w:rsid w:val="00DD3453"/>
    <w:rsid w:val="00E43B23"/>
    <w:rsid w:val="00F62A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AC5C6"/>
  <w15:chartTrackingRefBased/>
  <w15:docId w15:val="{961D8E40-65CE-4426-A720-8F2ADF629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2E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2E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2E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2E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2E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2E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E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E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E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E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2E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2E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2E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2E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2E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E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E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E20"/>
    <w:rPr>
      <w:rFonts w:eastAsiaTheme="majorEastAsia" w:cstheme="majorBidi"/>
      <w:color w:val="272727" w:themeColor="text1" w:themeTint="D8"/>
    </w:rPr>
  </w:style>
  <w:style w:type="paragraph" w:styleId="Title">
    <w:name w:val="Title"/>
    <w:basedOn w:val="Normal"/>
    <w:next w:val="Normal"/>
    <w:link w:val="TitleChar"/>
    <w:uiPriority w:val="10"/>
    <w:qFormat/>
    <w:rsid w:val="00AE2E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E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E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E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E20"/>
    <w:pPr>
      <w:spacing w:before="160"/>
      <w:jc w:val="center"/>
    </w:pPr>
    <w:rPr>
      <w:i/>
      <w:iCs/>
      <w:color w:val="404040" w:themeColor="text1" w:themeTint="BF"/>
    </w:rPr>
  </w:style>
  <w:style w:type="character" w:customStyle="1" w:styleId="QuoteChar">
    <w:name w:val="Quote Char"/>
    <w:basedOn w:val="DefaultParagraphFont"/>
    <w:link w:val="Quote"/>
    <w:uiPriority w:val="29"/>
    <w:rsid w:val="00AE2E20"/>
    <w:rPr>
      <w:i/>
      <w:iCs/>
      <w:color w:val="404040" w:themeColor="text1" w:themeTint="BF"/>
    </w:rPr>
  </w:style>
  <w:style w:type="paragraph" w:styleId="ListParagraph">
    <w:name w:val="List Paragraph"/>
    <w:basedOn w:val="Normal"/>
    <w:uiPriority w:val="34"/>
    <w:qFormat/>
    <w:rsid w:val="00AE2E20"/>
    <w:pPr>
      <w:ind w:left="720"/>
      <w:contextualSpacing/>
    </w:pPr>
  </w:style>
  <w:style w:type="character" w:styleId="IntenseEmphasis">
    <w:name w:val="Intense Emphasis"/>
    <w:basedOn w:val="DefaultParagraphFont"/>
    <w:uiPriority w:val="21"/>
    <w:qFormat/>
    <w:rsid w:val="00AE2E20"/>
    <w:rPr>
      <w:i/>
      <w:iCs/>
      <w:color w:val="0F4761" w:themeColor="accent1" w:themeShade="BF"/>
    </w:rPr>
  </w:style>
  <w:style w:type="paragraph" w:styleId="IntenseQuote">
    <w:name w:val="Intense Quote"/>
    <w:basedOn w:val="Normal"/>
    <w:next w:val="Normal"/>
    <w:link w:val="IntenseQuoteChar"/>
    <w:uiPriority w:val="30"/>
    <w:qFormat/>
    <w:rsid w:val="00AE2E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2E20"/>
    <w:rPr>
      <w:i/>
      <w:iCs/>
      <w:color w:val="0F4761" w:themeColor="accent1" w:themeShade="BF"/>
    </w:rPr>
  </w:style>
  <w:style w:type="character" w:styleId="IntenseReference">
    <w:name w:val="Intense Reference"/>
    <w:basedOn w:val="DefaultParagraphFont"/>
    <w:uiPriority w:val="32"/>
    <w:qFormat/>
    <w:rsid w:val="00AE2E20"/>
    <w:rPr>
      <w:b/>
      <w:bCs/>
      <w:smallCaps/>
      <w:color w:val="0F4761" w:themeColor="accent1" w:themeShade="BF"/>
      <w:spacing w:val="5"/>
    </w:rPr>
  </w:style>
  <w:style w:type="paragraph" w:styleId="NoSpacing">
    <w:name w:val="No Spacing"/>
    <w:uiPriority w:val="1"/>
    <w:qFormat/>
    <w:rsid w:val="00811910"/>
    <w:pPr>
      <w:spacing w:after="0" w:line="240" w:lineRule="auto"/>
    </w:pPr>
  </w:style>
  <w:style w:type="paragraph" w:styleId="TOCHeading">
    <w:name w:val="TOC Heading"/>
    <w:basedOn w:val="Heading1"/>
    <w:next w:val="Normal"/>
    <w:uiPriority w:val="39"/>
    <w:unhideWhenUsed/>
    <w:qFormat/>
    <w:rsid w:val="0055048C"/>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55048C"/>
    <w:pPr>
      <w:spacing w:after="100"/>
      <w:ind w:left="240"/>
    </w:pPr>
  </w:style>
  <w:style w:type="character" w:styleId="Hyperlink">
    <w:name w:val="Hyperlink"/>
    <w:basedOn w:val="DefaultParagraphFont"/>
    <w:uiPriority w:val="99"/>
    <w:unhideWhenUsed/>
    <w:rsid w:val="0055048C"/>
    <w:rPr>
      <w:color w:val="467886" w:themeColor="hyperlink"/>
      <w:u w:val="single"/>
    </w:rPr>
  </w:style>
  <w:style w:type="character" w:styleId="UnresolvedMention">
    <w:name w:val="Unresolved Mention"/>
    <w:basedOn w:val="DefaultParagraphFont"/>
    <w:uiPriority w:val="99"/>
    <w:semiHidden/>
    <w:unhideWhenUsed/>
    <w:rsid w:val="00CA04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earch.fs.usda.gov/firelab/products/dataandtools/wildfire-hazard-potential" TargetMode="External"/><Relationship Id="rId3" Type="http://schemas.openxmlformats.org/officeDocument/2006/relationships/styles" Target="styles.xml"/><Relationship Id="rId7" Type="http://schemas.openxmlformats.org/officeDocument/2006/relationships/hyperlink" Target="https://conservation-data-lab.github.io/cup_assessment/fire.html).%20%20"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ink.springer.com/content/pdf/10.1007/s10980-020-01173-8.pdf"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16D262-0918-4D06-8BD6-971BADCC80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5</Pages>
  <Words>832</Words>
  <Characters>4746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Randy L. Swaty</dc:creator>
  <cp:keywords/>
  <dc:description/>
  <cp:lastModifiedBy>Randy L. Swaty</cp:lastModifiedBy>
  <cp:revision>7</cp:revision>
  <dcterms:created xsi:type="dcterms:W3CDTF">2025-06-24T16:11:00Z</dcterms:created>
  <dcterms:modified xsi:type="dcterms:W3CDTF">2025-06-24T18:30:00Z</dcterms:modified>
</cp:coreProperties>
</file>