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B599" w14:textId="3AAC1FCA" w:rsidR="00EE25FD" w:rsidRPr="00B96BFA" w:rsidRDefault="00EE25FD" w:rsidP="00E63972">
      <w:pPr>
        <w:jc w:val="center"/>
        <w:rPr>
          <w:b/>
          <w:bCs/>
        </w:rPr>
      </w:pPr>
      <w:r w:rsidRPr="00B96BFA">
        <w:rPr>
          <w:b/>
          <w:bCs/>
        </w:rPr>
        <w:t xml:space="preserve">Why this why now: </w:t>
      </w:r>
      <w:r w:rsidR="00544D52" w:rsidRPr="00B96BFA">
        <w:rPr>
          <w:b/>
          <w:bCs/>
        </w:rPr>
        <w:t xml:space="preserve">Evaluating the potential for transformational changes in ecosystem condition and </w:t>
      </w:r>
      <w:r w:rsidRPr="00B96BFA">
        <w:rPr>
          <w:b/>
          <w:bCs/>
        </w:rPr>
        <w:t xml:space="preserve">wildfire </w:t>
      </w:r>
      <w:r w:rsidR="00544D52" w:rsidRPr="00B96BFA">
        <w:rPr>
          <w:b/>
          <w:bCs/>
        </w:rPr>
        <w:t xml:space="preserve">risk </w:t>
      </w:r>
      <w:r w:rsidR="007A7EA5" w:rsidRPr="00B96BFA">
        <w:rPr>
          <w:b/>
          <w:bCs/>
        </w:rPr>
        <w:t xml:space="preserve">for </w:t>
      </w:r>
      <w:r w:rsidR="00E63972">
        <w:rPr>
          <w:b/>
          <w:bCs/>
        </w:rPr>
        <w:t>the Northwoods region</w:t>
      </w:r>
    </w:p>
    <w:p w14:paraId="69ACB6C7" w14:textId="73E296D0" w:rsidR="00DD28C0" w:rsidRPr="00B96BFA" w:rsidRDefault="00FB701B">
      <w:pPr>
        <w:rPr>
          <w:sz w:val="22"/>
          <w:szCs w:val="22"/>
        </w:rPr>
      </w:pPr>
      <w:r w:rsidRPr="00FB701B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CC290A" wp14:editId="05F34B00">
                <wp:simplePos x="0" y="0"/>
                <wp:positionH relativeFrom="margin">
                  <wp:posOffset>2745105</wp:posOffset>
                </wp:positionH>
                <wp:positionV relativeFrom="paragraph">
                  <wp:posOffset>1606550</wp:posOffset>
                </wp:positionV>
                <wp:extent cx="3497580" cy="333375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33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42E52" w14:textId="6AFFE39F" w:rsidR="00FB701B" w:rsidRDefault="00BA7BAC" w:rsidP="00FB70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9DF4C9" wp14:editId="38F88808">
                                  <wp:extent cx="3228975" cy="2552814"/>
                                  <wp:effectExtent l="19050" t="19050" r="9525" b="19050"/>
                                  <wp:docPr id="128178272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802" cy="25708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>
                                                <a:lumMod val="75000"/>
                                                <a:lumOff val="25000"/>
                                              </a:schemeClr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922B12" w14:textId="38BEF60F" w:rsidR="00FB701B" w:rsidRPr="00FB701B" w:rsidRDefault="00FB701B" w:rsidP="00FB70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Figure 1.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</w:t>
                            </w: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 estimated ~1</w:t>
                            </w:r>
                            <w:r w:rsidR="00E63972">
                              <w:rPr>
                                <w:sz w:val="20"/>
                                <w:szCs w:val="20"/>
                              </w:rPr>
                              <w:t>.2</w:t>
                            </w: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M acres of </w:t>
                            </w:r>
                            <w:r w:rsidR="004A3B95">
                              <w:rPr>
                                <w:sz w:val="20"/>
                                <w:szCs w:val="20"/>
                              </w:rPr>
                              <w:t>land burned</w:t>
                            </w: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 annually prior to European colonization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with highest frequency of fire in areas shown in yellow</w:t>
                            </w:r>
                            <w:r w:rsidR="001872FA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.  </w:t>
                            </w:r>
                          </w:p>
                          <w:p w14:paraId="4D4E00E4" w14:textId="078B2949" w:rsidR="00FB701B" w:rsidRDefault="00FB701B" w:rsidP="00FB70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C29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6.15pt;margin-top:126.5pt;width:275.4pt;height:26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" stroked="f">
                <v:textbox>
                  <w:txbxContent>
                    <w:p w14:paraId="52642E52" w14:textId="6AFFE39F" w:rsidR="00FB701B" w:rsidRDefault="00BA7BAC" w:rsidP="00FB701B">
                      <w:r>
                        <w:rPr>
                          <w:noProof/>
                        </w:rPr>
                        <w:drawing>
                          <wp:inline distT="0" distB="0" distL="0" distR="0" wp14:anchorId="239DF4C9" wp14:editId="38F88808">
                            <wp:extent cx="3228975" cy="2552814"/>
                            <wp:effectExtent l="19050" t="19050" r="9525" b="19050"/>
                            <wp:docPr id="128178272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802" cy="25708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>
                                          <a:lumMod val="75000"/>
                                          <a:lumOff val="25000"/>
                                        </a:schemeClr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922B12" w14:textId="38BEF60F" w:rsidR="00FB701B" w:rsidRPr="00FB701B" w:rsidRDefault="00FB701B" w:rsidP="00FB701B">
                      <w:pPr>
                        <w:rPr>
                          <w:sz w:val="20"/>
                          <w:szCs w:val="20"/>
                        </w:rPr>
                      </w:pPr>
                      <w:r w:rsidRPr="00FB701B">
                        <w:rPr>
                          <w:sz w:val="20"/>
                          <w:szCs w:val="20"/>
                        </w:rPr>
                        <w:t xml:space="preserve">Figure 1. </w:t>
                      </w:r>
                      <w:r>
                        <w:rPr>
                          <w:sz w:val="20"/>
                          <w:szCs w:val="20"/>
                        </w:rPr>
                        <w:t>An</w:t>
                      </w:r>
                      <w:r w:rsidRPr="00FB701B">
                        <w:rPr>
                          <w:sz w:val="20"/>
                          <w:szCs w:val="20"/>
                        </w:rPr>
                        <w:t xml:space="preserve"> estimated ~1</w:t>
                      </w:r>
                      <w:r w:rsidR="00E63972">
                        <w:rPr>
                          <w:sz w:val="20"/>
                          <w:szCs w:val="20"/>
                        </w:rPr>
                        <w:t>.2</w:t>
                      </w:r>
                      <w:r w:rsidRPr="00FB701B">
                        <w:rPr>
                          <w:sz w:val="20"/>
                          <w:szCs w:val="20"/>
                        </w:rPr>
                        <w:t xml:space="preserve">M acres of </w:t>
                      </w:r>
                      <w:r w:rsidR="004A3B95">
                        <w:rPr>
                          <w:sz w:val="20"/>
                          <w:szCs w:val="20"/>
                        </w:rPr>
                        <w:t>land burned</w:t>
                      </w:r>
                      <w:r w:rsidRPr="00FB701B">
                        <w:rPr>
                          <w:sz w:val="20"/>
                          <w:szCs w:val="20"/>
                        </w:rPr>
                        <w:t xml:space="preserve"> annually prior to European colonization</w:t>
                      </w:r>
                      <w:r>
                        <w:rPr>
                          <w:sz w:val="20"/>
                          <w:szCs w:val="20"/>
                        </w:rPr>
                        <w:t>, with highest frequency of fire in areas shown in yellow</w:t>
                      </w:r>
                      <w:r w:rsidR="001872FA">
                        <w:rPr>
                          <w:sz w:val="20"/>
                          <w:szCs w:val="20"/>
                        </w:rPr>
                        <w:t>s</w:t>
                      </w:r>
                      <w:r w:rsidRPr="00FB701B">
                        <w:rPr>
                          <w:sz w:val="20"/>
                          <w:szCs w:val="20"/>
                        </w:rPr>
                        <w:t xml:space="preserve">.  </w:t>
                      </w:r>
                    </w:p>
                    <w:p w14:paraId="4D4E00E4" w14:textId="078B2949" w:rsidR="00FB701B" w:rsidRDefault="00FB701B" w:rsidP="00FB701B"/>
                  </w:txbxContent>
                </v:textbox>
                <w10:wrap type="square" anchorx="margin"/>
              </v:shape>
            </w:pict>
          </mc:Fallback>
        </mc:AlternateContent>
      </w:r>
      <w:r w:rsidR="00544D52" w:rsidRPr="00B96BFA">
        <w:rPr>
          <w:sz w:val="22"/>
          <w:szCs w:val="22"/>
        </w:rPr>
        <w:t>W</w:t>
      </w:r>
      <w:r w:rsidR="00253DE8" w:rsidRPr="00B96BFA">
        <w:rPr>
          <w:sz w:val="22"/>
          <w:szCs w:val="22"/>
        </w:rPr>
        <w:t>ildfires</w:t>
      </w:r>
      <w:r w:rsidR="00544D52" w:rsidRPr="00B96BFA">
        <w:rPr>
          <w:sz w:val="22"/>
          <w:szCs w:val="22"/>
        </w:rPr>
        <w:t>, drought, ice</w:t>
      </w:r>
      <w:r w:rsidR="009A3516" w:rsidRPr="00B96BFA">
        <w:rPr>
          <w:sz w:val="22"/>
          <w:szCs w:val="22"/>
        </w:rPr>
        <w:t>-</w:t>
      </w:r>
      <w:r w:rsidR="00544D52" w:rsidRPr="00B96BFA">
        <w:rPr>
          <w:sz w:val="22"/>
          <w:szCs w:val="22"/>
        </w:rPr>
        <w:t xml:space="preserve"> and wind</w:t>
      </w:r>
      <w:r w:rsidR="009A3516" w:rsidRPr="00B96BFA">
        <w:rPr>
          <w:sz w:val="22"/>
          <w:szCs w:val="22"/>
        </w:rPr>
        <w:t>storm</w:t>
      </w:r>
      <w:r w:rsidR="00544D52" w:rsidRPr="00B96BFA">
        <w:rPr>
          <w:sz w:val="22"/>
          <w:szCs w:val="22"/>
        </w:rPr>
        <w:t xml:space="preserve"> events, and</w:t>
      </w:r>
      <w:r w:rsidR="00253DE8" w:rsidRPr="00B96BFA">
        <w:rPr>
          <w:sz w:val="22"/>
          <w:szCs w:val="22"/>
        </w:rPr>
        <w:t xml:space="preserve"> other natural disturbances are foundational processes </w:t>
      </w:r>
      <w:r w:rsidR="00544D52" w:rsidRPr="00B96BFA">
        <w:rPr>
          <w:sz w:val="22"/>
          <w:szCs w:val="22"/>
        </w:rPr>
        <w:t>that shape the condition of ecosystems, and the services they provide to people.</w:t>
      </w:r>
      <w:r w:rsidR="00253DE8" w:rsidRPr="00B96BFA">
        <w:rPr>
          <w:sz w:val="22"/>
          <w:szCs w:val="22"/>
        </w:rPr>
        <w:t xml:space="preserve">  </w:t>
      </w:r>
      <w:r w:rsidR="009A3516" w:rsidRPr="00B96BFA">
        <w:rPr>
          <w:sz w:val="22"/>
          <w:szCs w:val="22"/>
        </w:rPr>
        <w:t>Anthropogenic drivers like introduced pests and pathogens, groundwater depletion, and fire suppression can disrupt natural processes, and reduce the resilience of forest ecosystems to disturbance</w:t>
      </w:r>
      <w:r w:rsidR="00D93CC8" w:rsidRPr="00B96BFA">
        <w:rPr>
          <w:sz w:val="22"/>
          <w:szCs w:val="22"/>
        </w:rPr>
        <w:t>s</w:t>
      </w:r>
      <w:r w:rsidR="009A3516" w:rsidRPr="00B96BFA">
        <w:rPr>
          <w:sz w:val="22"/>
          <w:szCs w:val="22"/>
        </w:rPr>
        <w:t xml:space="preserve">.  </w:t>
      </w:r>
      <w:r w:rsidR="00D93CC8" w:rsidRPr="00B96BFA">
        <w:rPr>
          <w:sz w:val="22"/>
          <w:szCs w:val="22"/>
        </w:rPr>
        <w:t>Further,</w:t>
      </w:r>
      <w:r w:rsidR="009A3516" w:rsidRPr="00B96BFA">
        <w:rPr>
          <w:sz w:val="22"/>
          <w:szCs w:val="22"/>
        </w:rPr>
        <w:t xml:space="preserve"> we expect that climate change, especially temperature</w:t>
      </w:r>
      <w:r w:rsidR="00D93CC8" w:rsidRPr="00B96BFA">
        <w:rPr>
          <w:sz w:val="22"/>
          <w:szCs w:val="22"/>
        </w:rPr>
        <w:t>-related increases in</w:t>
      </w:r>
      <w:r w:rsidR="009A3516" w:rsidRPr="00B96BFA">
        <w:rPr>
          <w:sz w:val="22"/>
          <w:szCs w:val="22"/>
        </w:rPr>
        <w:t xml:space="preserve"> </w:t>
      </w:r>
      <w:r w:rsidR="00D93CC8" w:rsidRPr="00B96BFA">
        <w:rPr>
          <w:sz w:val="22"/>
          <w:szCs w:val="22"/>
        </w:rPr>
        <w:t>evaporative demand</w:t>
      </w:r>
      <w:r w:rsidR="00DD28C0" w:rsidRPr="00B96BFA">
        <w:rPr>
          <w:sz w:val="22"/>
          <w:szCs w:val="22"/>
        </w:rPr>
        <w:t xml:space="preserve"> (a key indicator of water loss rates from soils and vegetation)</w:t>
      </w:r>
      <w:r w:rsidR="00D93CC8" w:rsidRPr="00B96BFA">
        <w:rPr>
          <w:sz w:val="22"/>
          <w:szCs w:val="22"/>
        </w:rPr>
        <w:t xml:space="preserve">, has the potential to rapidly </w:t>
      </w:r>
      <w:r w:rsidR="00DD28C0" w:rsidRPr="00B96BFA">
        <w:rPr>
          <w:sz w:val="22"/>
          <w:szCs w:val="22"/>
        </w:rPr>
        <w:t>amplify the effects of anthropogenic stressors, promoting</w:t>
      </w:r>
      <w:r w:rsidR="00D93CC8" w:rsidRPr="00B96BFA">
        <w:rPr>
          <w:sz w:val="22"/>
          <w:szCs w:val="22"/>
        </w:rPr>
        <w:t xml:space="preserve"> drought stress in forest vegetation, and </w:t>
      </w:r>
      <w:r w:rsidR="00FF7FD7" w:rsidRPr="00B96BFA">
        <w:rPr>
          <w:sz w:val="22"/>
          <w:szCs w:val="22"/>
        </w:rPr>
        <w:t xml:space="preserve">transformational </w:t>
      </w:r>
      <w:r w:rsidR="00D93CC8" w:rsidRPr="00B96BFA">
        <w:rPr>
          <w:sz w:val="22"/>
          <w:szCs w:val="22"/>
        </w:rPr>
        <w:t>increase</w:t>
      </w:r>
      <w:r w:rsidR="00FF7FD7" w:rsidRPr="00B96BFA">
        <w:rPr>
          <w:sz w:val="22"/>
          <w:szCs w:val="22"/>
        </w:rPr>
        <w:t>s in</w:t>
      </w:r>
      <w:r w:rsidR="00D93CC8" w:rsidRPr="00B96BFA">
        <w:rPr>
          <w:sz w:val="22"/>
          <w:szCs w:val="22"/>
        </w:rPr>
        <w:t xml:space="preserve"> fire risk</w:t>
      </w:r>
      <w:r w:rsidR="00DD28C0" w:rsidRPr="00B96BFA">
        <w:rPr>
          <w:sz w:val="22"/>
          <w:szCs w:val="22"/>
        </w:rPr>
        <w:t xml:space="preserve">.  While these risks to </w:t>
      </w:r>
      <w:r w:rsidR="00F23E6C">
        <w:rPr>
          <w:sz w:val="22"/>
          <w:szCs w:val="22"/>
        </w:rPr>
        <w:t xml:space="preserve">forests of the </w:t>
      </w:r>
      <w:r w:rsidR="00E63972">
        <w:rPr>
          <w:sz w:val="22"/>
          <w:szCs w:val="22"/>
        </w:rPr>
        <w:t>Northwoods Region</w:t>
      </w:r>
      <w:r w:rsidR="00DD28C0" w:rsidRPr="00B96BFA">
        <w:rPr>
          <w:sz w:val="22"/>
          <w:szCs w:val="22"/>
        </w:rPr>
        <w:t xml:space="preserve"> are pervasive an</w:t>
      </w:r>
      <w:r w:rsidR="00461C0F" w:rsidRPr="00B96BFA">
        <w:rPr>
          <w:sz w:val="22"/>
          <w:szCs w:val="22"/>
        </w:rPr>
        <w:t>d</w:t>
      </w:r>
      <w:r w:rsidR="00DD28C0" w:rsidRPr="00B96BFA">
        <w:rPr>
          <w:sz w:val="22"/>
          <w:szCs w:val="22"/>
        </w:rPr>
        <w:t xml:space="preserve"> </w:t>
      </w:r>
      <w:r w:rsidR="00461C0F" w:rsidRPr="00B96BFA">
        <w:rPr>
          <w:sz w:val="22"/>
          <w:szCs w:val="22"/>
        </w:rPr>
        <w:t>associated with many uncertainties</w:t>
      </w:r>
      <w:r w:rsidR="00DD28C0" w:rsidRPr="00B96BFA">
        <w:rPr>
          <w:sz w:val="22"/>
          <w:szCs w:val="22"/>
        </w:rPr>
        <w:t>, understanding the spatial patterns of past disturbances, current vegetation conditions, management and water use history, and site conditions can help us compare relative risks</w:t>
      </w:r>
      <w:r w:rsidR="00461C0F" w:rsidRPr="00B96BFA">
        <w:rPr>
          <w:sz w:val="22"/>
          <w:szCs w:val="22"/>
        </w:rPr>
        <w:t xml:space="preserve"> for catastrophic fires</w:t>
      </w:r>
      <w:r w:rsidR="00B96BFA">
        <w:rPr>
          <w:sz w:val="22"/>
          <w:szCs w:val="22"/>
        </w:rPr>
        <w:t xml:space="preserve">.  Additional work to define and map focal social and ecological </w:t>
      </w:r>
      <w:r w:rsidR="001872FA">
        <w:rPr>
          <w:sz w:val="22"/>
          <w:szCs w:val="22"/>
        </w:rPr>
        <w:t xml:space="preserve">values, </w:t>
      </w:r>
      <w:r w:rsidR="001872FA" w:rsidRPr="00B96BFA">
        <w:rPr>
          <w:sz w:val="22"/>
          <w:szCs w:val="22"/>
        </w:rPr>
        <w:t>and</w:t>
      </w:r>
      <w:r w:rsidR="00DD28C0" w:rsidRPr="00B96BFA">
        <w:rPr>
          <w:sz w:val="22"/>
          <w:szCs w:val="22"/>
        </w:rPr>
        <w:t xml:space="preserve"> </w:t>
      </w:r>
      <w:r w:rsidR="00B96BFA">
        <w:rPr>
          <w:sz w:val="22"/>
          <w:szCs w:val="22"/>
        </w:rPr>
        <w:t>indicators of management capacity, can later build from these risk layers to help TNC staff align risk with</w:t>
      </w:r>
      <w:r w:rsidR="00DD28C0" w:rsidRPr="00B96BFA">
        <w:rPr>
          <w:sz w:val="22"/>
          <w:szCs w:val="22"/>
        </w:rPr>
        <w:t xml:space="preserve"> strategies. </w:t>
      </w:r>
    </w:p>
    <w:p w14:paraId="418E7279" w14:textId="31FBB70B" w:rsidR="007B6E71" w:rsidRPr="00B96BFA" w:rsidRDefault="00461C0F" w:rsidP="00461C0F">
      <w:pPr>
        <w:rPr>
          <w:sz w:val="22"/>
          <w:szCs w:val="22"/>
        </w:rPr>
      </w:pPr>
      <w:r w:rsidRPr="00B96BFA">
        <w:rPr>
          <w:sz w:val="22"/>
          <w:szCs w:val="22"/>
        </w:rPr>
        <w:t xml:space="preserve">We </w:t>
      </w:r>
      <w:r w:rsidR="00FB701B">
        <w:rPr>
          <w:sz w:val="22"/>
          <w:szCs w:val="22"/>
        </w:rPr>
        <w:t>will</w:t>
      </w:r>
      <w:r w:rsidRPr="00B96BFA">
        <w:rPr>
          <w:sz w:val="22"/>
          <w:szCs w:val="22"/>
        </w:rPr>
        <w:t xml:space="preserve"> </w:t>
      </w:r>
      <w:r w:rsidR="00FB701B">
        <w:rPr>
          <w:sz w:val="22"/>
          <w:szCs w:val="22"/>
        </w:rPr>
        <w:t>engage</w:t>
      </w:r>
      <w:r w:rsidRPr="00B96BFA">
        <w:rPr>
          <w:sz w:val="22"/>
          <w:szCs w:val="22"/>
        </w:rPr>
        <w:t xml:space="preserve"> with key </w:t>
      </w:r>
      <w:r w:rsidR="007C3D9C">
        <w:rPr>
          <w:sz w:val="22"/>
          <w:szCs w:val="22"/>
        </w:rPr>
        <w:t>staff</w:t>
      </w:r>
      <w:r w:rsidRPr="00B96BFA">
        <w:rPr>
          <w:sz w:val="22"/>
          <w:szCs w:val="22"/>
        </w:rPr>
        <w:t xml:space="preserve"> members to </w:t>
      </w:r>
      <w:r w:rsidR="00B96BFA">
        <w:rPr>
          <w:sz w:val="22"/>
          <w:szCs w:val="22"/>
        </w:rPr>
        <w:t>identify theories of change relate</w:t>
      </w:r>
      <w:r w:rsidR="00FB701B">
        <w:rPr>
          <w:sz w:val="22"/>
          <w:szCs w:val="22"/>
        </w:rPr>
        <w:t>d</w:t>
      </w:r>
      <w:r w:rsidR="00B96BFA">
        <w:rPr>
          <w:sz w:val="22"/>
          <w:szCs w:val="22"/>
        </w:rPr>
        <w:t xml:space="preserve"> to changing fire </w:t>
      </w:r>
      <w:r w:rsidRPr="00B96BFA">
        <w:rPr>
          <w:sz w:val="22"/>
          <w:szCs w:val="22"/>
        </w:rPr>
        <w:t>risks</w:t>
      </w:r>
      <w:r w:rsidR="00B96BFA">
        <w:rPr>
          <w:sz w:val="22"/>
          <w:szCs w:val="22"/>
        </w:rPr>
        <w:t>,</w:t>
      </w:r>
      <w:r w:rsidRPr="00B96BFA">
        <w:rPr>
          <w:sz w:val="22"/>
          <w:szCs w:val="22"/>
        </w:rPr>
        <w:t xml:space="preserve"> and </w:t>
      </w:r>
      <w:r w:rsidR="00FB701B">
        <w:rPr>
          <w:sz w:val="22"/>
          <w:szCs w:val="22"/>
        </w:rPr>
        <w:t xml:space="preserve">work with existing data sets to spatially </w:t>
      </w:r>
      <w:r w:rsidR="00B96BFA">
        <w:rPr>
          <w:sz w:val="22"/>
          <w:szCs w:val="22"/>
        </w:rPr>
        <w:t>integrate</w:t>
      </w:r>
      <w:r w:rsidR="00FB701B">
        <w:rPr>
          <w:sz w:val="22"/>
          <w:szCs w:val="22"/>
        </w:rPr>
        <w:t xml:space="preserve"> these risk factors with baseline fire risk datasets, such as historical fire regime (Figure 1). </w:t>
      </w:r>
      <w:r w:rsidR="00B96BFA">
        <w:rPr>
          <w:sz w:val="22"/>
          <w:szCs w:val="22"/>
        </w:rPr>
        <w:t xml:space="preserve"> </w:t>
      </w:r>
      <w:r w:rsidR="00FB701B">
        <w:rPr>
          <w:sz w:val="22"/>
          <w:szCs w:val="22"/>
        </w:rPr>
        <w:t xml:space="preserve">Through this work, we will </w:t>
      </w:r>
      <w:r w:rsidR="00B96BFA">
        <w:rPr>
          <w:sz w:val="22"/>
          <w:szCs w:val="22"/>
        </w:rPr>
        <w:t xml:space="preserve">lay the groundwork for collaborative, </w:t>
      </w:r>
      <w:r w:rsidR="001872FA" w:rsidRPr="00B96BFA">
        <w:rPr>
          <w:sz w:val="22"/>
          <w:szCs w:val="22"/>
        </w:rPr>
        <w:t>proactive</w:t>
      </w:r>
      <w:r w:rsidRPr="00B96BFA">
        <w:rPr>
          <w:sz w:val="22"/>
          <w:szCs w:val="22"/>
        </w:rPr>
        <w:t xml:space="preserve"> strateg</w:t>
      </w:r>
      <w:r w:rsidR="00FB701B">
        <w:rPr>
          <w:sz w:val="22"/>
          <w:szCs w:val="22"/>
        </w:rPr>
        <w:t>y development</w:t>
      </w:r>
      <w:r w:rsidRPr="00B96BFA">
        <w:rPr>
          <w:sz w:val="22"/>
          <w:szCs w:val="22"/>
        </w:rPr>
        <w:t xml:space="preserve">.  By considering historic data, current </w:t>
      </w:r>
      <w:r w:rsidR="004A3B95">
        <w:rPr>
          <w:sz w:val="22"/>
          <w:szCs w:val="22"/>
        </w:rPr>
        <w:t xml:space="preserve">vegetation and climate </w:t>
      </w:r>
      <w:r w:rsidRPr="00B96BFA">
        <w:rPr>
          <w:sz w:val="22"/>
          <w:szCs w:val="22"/>
        </w:rPr>
        <w:t xml:space="preserve">conditions, and future </w:t>
      </w:r>
      <w:r w:rsidR="001C1455" w:rsidRPr="00B96BFA">
        <w:rPr>
          <w:sz w:val="22"/>
          <w:szCs w:val="22"/>
        </w:rPr>
        <w:t>projections,</w:t>
      </w:r>
      <w:r w:rsidR="001872FA">
        <w:rPr>
          <w:sz w:val="22"/>
          <w:szCs w:val="22"/>
        </w:rPr>
        <w:t xml:space="preserve"> </w:t>
      </w:r>
      <w:r w:rsidRPr="00B96BFA">
        <w:rPr>
          <w:sz w:val="22"/>
          <w:szCs w:val="22"/>
        </w:rPr>
        <w:t>we will provide a rapid yet holistic assessment of risks</w:t>
      </w:r>
      <w:r w:rsidR="004A3B95">
        <w:rPr>
          <w:sz w:val="22"/>
          <w:szCs w:val="22"/>
        </w:rPr>
        <w:t xml:space="preserve"> that provides a foundation for driver-focused strategies</w:t>
      </w:r>
      <w:r w:rsidR="00555DFD">
        <w:rPr>
          <w:sz w:val="22"/>
          <w:szCs w:val="22"/>
        </w:rPr>
        <w:t>.</w:t>
      </w:r>
      <w:r w:rsidR="004A3B95">
        <w:rPr>
          <w:sz w:val="22"/>
          <w:szCs w:val="22"/>
        </w:rPr>
        <w:t xml:space="preserve"> (e.g., addressing forest </w:t>
      </w:r>
      <w:proofErr w:type="spellStart"/>
      <w:r w:rsidR="004A3B95">
        <w:rPr>
          <w:sz w:val="22"/>
          <w:szCs w:val="22"/>
        </w:rPr>
        <w:t>mesophication</w:t>
      </w:r>
      <w:proofErr w:type="spellEnd"/>
      <w:r w:rsidR="004A3B95">
        <w:rPr>
          <w:sz w:val="22"/>
          <w:szCs w:val="22"/>
        </w:rPr>
        <w:t xml:space="preserve">, increasing access to mills, etc.). </w:t>
      </w:r>
      <w:r w:rsidRPr="00B96BFA">
        <w:rPr>
          <w:sz w:val="22"/>
          <w:szCs w:val="22"/>
        </w:rPr>
        <w:t>We propose the following deliverables:</w:t>
      </w:r>
    </w:p>
    <w:p w14:paraId="1A986C37" w14:textId="56437EB3" w:rsidR="007B6E71" w:rsidRPr="00555DFD" w:rsidRDefault="007B6E71" w:rsidP="00555DF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96BFA">
        <w:rPr>
          <w:sz w:val="22"/>
          <w:szCs w:val="22"/>
        </w:rPr>
        <w:t xml:space="preserve">A simple online dashboard (in the style of </w:t>
      </w:r>
      <w:hyperlink r:id="rId6" w:history="1">
        <w:r w:rsidRPr="00B96BFA">
          <w:rPr>
            <w:rStyle w:val="Hyperlink"/>
            <w:sz w:val="22"/>
            <w:szCs w:val="22"/>
          </w:rPr>
          <w:t>https://landfire-tnc.github.io/Assessments/</w:t>
        </w:r>
      </w:hyperlink>
      <w:r w:rsidRPr="00B96BFA">
        <w:rPr>
          <w:sz w:val="22"/>
          <w:szCs w:val="22"/>
        </w:rPr>
        <w:t>) that contains:</w:t>
      </w:r>
      <w:r w:rsidR="00555DFD">
        <w:rPr>
          <w:sz w:val="22"/>
          <w:szCs w:val="22"/>
        </w:rPr>
        <w:t xml:space="preserve"> (a) </w:t>
      </w:r>
      <w:r w:rsidRPr="00555DFD">
        <w:rPr>
          <w:sz w:val="22"/>
          <w:szCs w:val="22"/>
        </w:rPr>
        <w:t xml:space="preserve">selected maps and information on past, present and potential future wildfires, </w:t>
      </w:r>
      <w:r w:rsidR="00555DFD">
        <w:rPr>
          <w:sz w:val="22"/>
          <w:szCs w:val="22"/>
        </w:rPr>
        <w:t xml:space="preserve">and (b) </w:t>
      </w:r>
      <w:r w:rsidRPr="00555DFD">
        <w:rPr>
          <w:sz w:val="22"/>
          <w:szCs w:val="22"/>
        </w:rPr>
        <w:t>case studies that illustrate challenges and opportunities (see 3)</w:t>
      </w:r>
      <w:r w:rsidR="00537E77">
        <w:rPr>
          <w:sz w:val="22"/>
          <w:szCs w:val="22"/>
        </w:rPr>
        <w:t>.</w:t>
      </w:r>
    </w:p>
    <w:p w14:paraId="047A88A3" w14:textId="72FDE81B" w:rsidR="007B6E71" w:rsidRPr="00B96BFA" w:rsidRDefault="007B6E71" w:rsidP="007B6E7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96BFA">
        <w:rPr>
          <w:sz w:val="22"/>
          <w:szCs w:val="22"/>
        </w:rPr>
        <w:t>Documentation</w:t>
      </w:r>
      <w:r w:rsidR="00555DFD">
        <w:rPr>
          <w:sz w:val="22"/>
          <w:szCs w:val="22"/>
        </w:rPr>
        <w:t xml:space="preserve"> of the evidence base for various drivers of increasing fire risk in this landscape identified through literature review and consultation with Midwest staff and regional experts. </w:t>
      </w:r>
    </w:p>
    <w:p w14:paraId="4B216C01" w14:textId="2E79B661" w:rsidR="00EE25FD" w:rsidRPr="001872FA" w:rsidRDefault="007B6E71" w:rsidP="003079E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872FA">
        <w:rPr>
          <w:sz w:val="22"/>
          <w:szCs w:val="22"/>
        </w:rPr>
        <w:t xml:space="preserve">Future-looking maps and </w:t>
      </w:r>
      <w:r w:rsidR="00537E77" w:rsidRPr="001872FA">
        <w:rPr>
          <w:sz w:val="22"/>
          <w:szCs w:val="22"/>
        </w:rPr>
        <w:t xml:space="preserve">preliminary ideas on </w:t>
      </w:r>
      <w:r w:rsidRPr="001872FA">
        <w:rPr>
          <w:sz w:val="22"/>
          <w:szCs w:val="22"/>
        </w:rPr>
        <w:t>potential actions</w:t>
      </w:r>
      <w:r w:rsidR="00537E77" w:rsidRPr="001872FA">
        <w:rPr>
          <w:sz w:val="22"/>
          <w:szCs w:val="22"/>
        </w:rPr>
        <w:t>,</w:t>
      </w:r>
      <w:r w:rsidRPr="001872FA">
        <w:rPr>
          <w:sz w:val="22"/>
          <w:szCs w:val="22"/>
        </w:rPr>
        <w:t xml:space="preserve"> </w:t>
      </w:r>
      <w:r w:rsidR="00537E77" w:rsidRPr="001872FA">
        <w:rPr>
          <w:sz w:val="22"/>
          <w:szCs w:val="22"/>
        </w:rPr>
        <w:t>co-developed with Midwest staff and based on</w:t>
      </w:r>
      <w:r w:rsidRPr="001872FA">
        <w:rPr>
          <w:sz w:val="22"/>
          <w:szCs w:val="22"/>
        </w:rPr>
        <w:t xml:space="preserve"> expert opinion, literature </w:t>
      </w:r>
      <w:r w:rsidR="00537E77" w:rsidRPr="001872FA">
        <w:rPr>
          <w:sz w:val="22"/>
          <w:szCs w:val="22"/>
        </w:rPr>
        <w:t xml:space="preserve">review, </w:t>
      </w:r>
      <w:r w:rsidRPr="001872FA">
        <w:rPr>
          <w:sz w:val="22"/>
          <w:szCs w:val="22"/>
        </w:rPr>
        <w:t>and exploratory modeling</w:t>
      </w:r>
      <w:r w:rsidR="00537E77" w:rsidRPr="001872FA">
        <w:rPr>
          <w:sz w:val="22"/>
          <w:szCs w:val="22"/>
        </w:rPr>
        <w:t>.</w:t>
      </w:r>
    </w:p>
    <w:sectPr w:rsidR="00EE25FD" w:rsidRPr="001872FA" w:rsidSect="00B96BFA">
      <w:pgSz w:w="12240" w:h="15840"/>
      <w:pgMar w:top="1296" w:right="1008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27864"/>
    <w:multiLevelType w:val="hybridMultilevel"/>
    <w:tmpl w:val="DD0E0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7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FD"/>
    <w:rsid w:val="001872FA"/>
    <w:rsid w:val="001C1455"/>
    <w:rsid w:val="001F2C76"/>
    <w:rsid w:val="00243028"/>
    <w:rsid w:val="00253DE8"/>
    <w:rsid w:val="002733C9"/>
    <w:rsid w:val="0028187E"/>
    <w:rsid w:val="00370E20"/>
    <w:rsid w:val="003F248A"/>
    <w:rsid w:val="00461C0F"/>
    <w:rsid w:val="004A3B95"/>
    <w:rsid w:val="00537E77"/>
    <w:rsid w:val="00544D52"/>
    <w:rsid w:val="00555DFD"/>
    <w:rsid w:val="00606715"/>
    <w:rsid w:val="00684A60"/>
    <w:rsid w:val="007A7EA5"/>
    <w:rsid w:val="007B6E71"/>
    <w:rsid w:val="007C3D9C"/>
    <w:rsid w:val="00890C7C"/>
    <w:rsid w:val="008947E0"/>
    <w:rsid w:val="00962CF0"/>
    <w:rsid w:val="009A3516"/>
    <w:rsid w:val="00A24087"/>
    <w:rsid w:val="00A52A2D"/>
    <w:rsid w:val="00A81ED7"/>
    <w:rsid w:val="00B619AA"/>
    <w:rsid w:val="00B96BFA"/>
    <w:rsid w:val="00BA7BAC"/>
    <w:rsid w:val="00C51419"/>
    <w:rsid w:val="00CB070C"/>
    <w:rsid w:val="00CE53CF"/>
    <w:rsid w:val="00D634FD"/>
    <w:rsid w:val="00D93CC8"/>
    <w:rsid w:val="00DD28C0"/>
    <w:rsid w:val="00E63972"/>
    <w:rsid w:val="00EE25FD"/>
    <w:rsid w:val="00F17A15"/>
    <w:rsid w:val="00F23E6C"/>
    <w:rsid w:val="00FB701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50D9"/>
  <w15:chartTrackingRefBased/>
  <w15:docId w15:val="{ADEA9075-197D-42F3-B06E-E844ACF4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E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E7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44D5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A3B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3B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3B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3B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3B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ndfire-tnc.github.io/Assessment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Swaty</dc:creator>
  <cp:keywords/>
  <dc:description/>
  <cp:lastModifiedBy>Randy Swaty</cp:lastModifiedBy>
  <cp:revision>5</cp:revision>
  <dcterms:created xsi:type="dcterms:W3CDTF">2025-09-02T14:06:00Z</dcterms:created>
  <dcterms:modified xsi:type="dcterms:W3CDTF">2025-09-02T14:19:00Z</dcterms:modified>
</cp:coreProperties>
</file>