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w:body>
    <w:p>
      <w:pPr>
        <w:pStyle w:val="Title"/>
      </w:pPr>
      <w:r>
        <w:t xml:space="preserve">Software Licence and Support Agreement</w:t>
      </w:r>
    </w:p>
    <w:p>
      <w:pPr>
        <w:pStyle w:val="Subtitle"/>
      </w:pPr>
      <w:r>
        <w:t xml:space="preserve">Perjanjian Lisensi dan Dukungan Perangkat Lunak</w:t>
      </w:r>
    </w:p>
    <w:p>
      <w:r>
        <w:t xml:space="preserve">This Agreement is made on 15 February 2027 between PT Garudafood Putri Jaya Tbk, having its office in Jakarta (the "Licensee"), and PT Contoh Solusi Digital, having its office in Jakarta (the "Licensor").</w:t>
      </w:r>
    </w:p>
    <w:p>
      <w:r>
        <w:rPr>
          <w:i/>
          <w:color w:val="404040"/>
        </w:rPr>
        <w:t xml:space="preserve">Perjanjian ini dibuat pada tanggal 15 Februari 2027 antara PT Garudafood Putri Jaya Tbk, berkedudukan di Jakarta ("Penerima Lisensi"), dan PT Contoh Solusi Digital, berkedudukan di Jakarta ("Pemberi Lisensi").</w:t>
      </w:r>
    </w:p>
    <w:p>
      <w:pPr>
        <w:pStyle w:val="Heading1"/>
      </w:pPr>
      <w:r>
        <w:t xml:space="preserve">Article 1 / Pasal 1. Definitions / Definisi</w:t>
      </w:r>
    </w:p>
    <w:p>
      <w:r>
        <w:t xml:space="preserve">1.1 "Software" means the warehouse management software described in Schedule 1, including updates supplied under this Agreement.</w:t>
      </w:r>
    </w:p>
    <w:p>
      <w:r>
        <w:rPr>
          <w:i/>
          <w:color w:val="404040"/>
        </w:rPr>
        <w:t xml:space="preserve">1.1 "Perangkat Lunak" berarti perangkat lunak manajemen gudang yang diuraikan dalam Lampiran 1, termasuk pembaruan yang diberikan berdasarkan Perjanjian ini.</w:t>
      </w:r>
    </w:p>
    <w:p>
      <w:r>
        <w:t xml:space="preserve">1.2 "Users" means the employees of the Licensee who are authorised to use the Software, up to 250 named persons.</w:t>
      </w:r>
    </w:p>
    <w:p>
      <w:r>
        <w:rPr>
          <w:i/>
          <w:color w:val="404040"/>
        </w:rPr>
        <w:t xml:space="preserve">1.2 "Pengguna" berarti karyawan Penerima Lisensi yang diberi wewenang menggunakan Perangkat Lunak, paling banyak 250 orang yang disebutkan namanya.</w:t>
      </w:r>
    </w:p>
    <w:p>
      <w:r>
        <w:t xml:space="preserve">1.3 "Critical Fault" means a fault that stops the Software from processing goods receipts or shipments.</w:t>
      </w:r>
    </w:p>
    <w:p>
      <w:r>
        <w:rPr>
          <w:i/>
          <w:color w:val="404040"/>
        </w:rPr>
        <w:t xml:space="preserve">1.3 "Gangguan Kritis" berarti gangguan yang membuat Perangkat Lunak tidak dapat memproses penerimaan atau pengiriman barang.</w:t>
      </w:r>
    </w:p>
    <w:p>
      <w:pPr>
        <w:pStyle w:val="Heading1"/>
      </w:pPr>
      <w:r>
        <w:t xml:space="preserve">Article 2 / Pasal 2. Licence / Lisensi</w:t>
      </w:r>
    </w:p>
    <w:p>
      <w:r>
        <w:t xml:space="preserve">2.1 The Licensor grants the Licensee a non-transferable right to install and use the Software at its sites in Indonesia for its internal business.</w:t>
      </w:r>
    </w:p>
    <w:p>
      <w:r>
        <w:rPr>
          <w:i/>
          <w:color w:val="404040"/>
        </w:rPr>
        <w:t xml:space="preserve">2.1 Pemberi Lisensi memberikan kepada Penerima Lisensi hak yang tidak dapat dialihkan untuk memasang dan menggunakan Perangkat Lunak di lokasi-lokasinya di Indonesia untuk keperluan usahanya sendiri.</w:t>
      </w:r>
    </w:p>
    <w:p>
      <w:pPr>
        <w:pStyle w:val="Heading1"/>
      </w:pPr>
      <w:r>
        <w:t xml:space="preserve">Article 3 / Pasal 3. Fees / Biaya</w:t>
      </w:r>
    </w:p>
    <w:p>
      <w:r>
        <w:t xml:space="preserve">3.1 The Licensee shall pay a one-time licence fee of IDR 1,250,000,000 and an annual support fee of IDR 180,000,000.</w:t>
      </w:r>
    </w:p>
    <w:p>
      <w:r>
        <w:rPr>
          <w:i/>
          <w:color w:val="404040"/>
        </w:rPr>
        <w:t xml:space="preserve">3.1 Penerima Lisensi membayar biaya lisensi satu kali sebesar Rp 1.250.000.000 dan biaya dukungan tahunan sebesar Rp 180.000.000.</w:t>
      </w:r>
    </w:p>
    <w:p>
      <w:r>
        <w:t xml:space="preserve">3.2 Invoices are payable within thirty (30) days of receipt. The support fee is invoiced yearly in advance.</w:t>
      </w:r>
    </w:p>
    <w:p>
      <w:r>
        <w:rPr>
          <w:i/>
          <w:color w:val="404040"/>
        </w:rPr>
        <w:t xml:space="preserve">3.2 Tagihan dibayar dalam waktu tiga puluh (30) hari sejak diterima. Biaya dukungan ditagihkan setiap tahun di muka.</w:t>
      </w:r>
    </w:p>
    <w:p>
      <w:pPr>
        <w:pStyle w:val="Heading1"/>
      </w:pPr>
      <w:r>
        <w:t xml:space="preserve">Article 4 / Pasal 4. Support / Dukungan</w:t>
      </w:r>
    </w:p>
    <w:p>
      <w:r>
        <w:t xml:space="preserve">4.1 The Licensor shall respond to a Critical Fault within two (2) hours and restore normal operation within eight (8) hours, every day of the year.</w:t>
      </w:r>
    </w:p>
    <w:p>
      <w:r>
        <w:rPr>
          <w:i/>
          <w:color w:val="404040"/>
        </w:rPr>
        <w:t xml:space="preserve">4.1 Pemberi Lisensi wajib menanggapi Gangguan Kritis dalam waktu dua (2) jam dan memulihkan operasi normal dalam waktu delapan (8) jam, setiap hari sepanjang tahun.</w:t>
      </w:r>
    </w:p>
    <w:p>
      <w:r>
        <w:t xml:space="preserve">4.2 For each full hour by which restoration exceeds eight hours, the Licensor shall credit the Licensee with one percent (1%) of the annual support fee, up to fifteen percent (15%) a year.</w:t>
      </w:r>
    </w:p>
    <w:p>
      <w:r>
        <w:rPr>
          <w:i/>
          <w:color w:val="404040"/>
        </w:rPr>
        <w:t xml:space="preserve">4.2 Untuk setiap jam penuh pemulihan yang melewati delapan jam, Pemberi Lisensi memberikan potongan kepada Penerima Lisensi sebesar satu persen (1%) dari biaya dukungan tahunan, paling banyak lima belas persen (15%) per tahun.</w:t>
      </w:r>
    </w:p>
    <w:p>
      <w:pPr>
        <w:pStyle w:val="Heading1"/>
      </w:pPr>
      <w:r>
        <w:t xml:space="preserve">Article 5 / Pasal 5. Confidentiality / Kerahasiaan</w:t>
      </w:r>
    </w:p>
    <w:p>
      <w:r>
        <w:t xml:space="preserve">5.1 Neither party shall reveal the other's non-public information to any outsider, and each shall use it solely for the purposes of this Agreement. This obligation lasts for five (5) years after the Agreement ends.</w:t>
      </w:r>
    </w:p>
    <w:p>
      <w:r>
        <w:rPr>
          <w:i/>
          <w:color w:val="404040"/>
        </w:rPr>
        <w:t xml:space="preserve">5.1 Para pihak tidak akan mengungkapkan informasi pihak lainnya yang tidak tersedia untuk umum kepada orang luar, dan hanya menggunakannya untuk keperluan Perjanjian ini. Kewajiban ini berlaku selama lima (5) tahun setelah Perjanjian berakhir.</w:t>
      </w:r>
    </w:p>
    <w:p>
      <w:pPr>
        <w:pStyle w:val="Heading1"/>
      </w:pPr>
      <w:r>
        <w:t xml:space="preserve">Article 6 / Pasal 6. Limitation of Liability / Pembatasan Tanggung Jawab</w:t>
      </w:r>
    </w:p>
    <w:p>
      <w:r>
        <w:t xml:space="preserve">6.1 The aggregate liability of the Licensor shall not exceed the fees paid by the Licensee in the twelve (12) months preceding the event giving rise to the claim.</w:t>
      </w:r>
    </w:p>
    <w:p>
      <w:r>
        <w:rPr>
          <w:i/>
          <w:color w:val="404040"/>
        </w:rPr>
        <w:t xml:space="preserve">6.1 Seluruh tanggung jawab Pemberi Lisensi tidak melebihi biaya yang dibayar Penerima Lisensi dalam dua belas (12) bulan sebelum kejadian yang menimbulkan tuntutan.</w:t>
      </w:r>
    </w:p>
    <w:p>
      <w:r>
        <w:t xml:space="preserve">6.2 Neither party shall be liable for loss of data that could have been prevented by the other party keeping regular back-ups.</w:t>
      </w:r>
    </w:p>
    <w:p>
      <w:r>
        <w:rPr>
          <w:i/>
          <w:color w:val="404040"/>
        </w:rPr>
        <w:t xml:space="preserve">6.2 Tidak ada pihak yang bertanggung jawab atas hilangnya data yang dapat dicegah apabila pihak lainnya membuat cadangan secara berkala.</w:t>
      </w:r>
    </w:p>
    <w:p>
      <w:pPr>
        <w:pStyle w:val="Heading1"/>
      </w:pPr>
      <w:r>
        <w:t xml:space="preserve">Article 7 / Pasal 7. Infringement Claims / Tuntutan Pelanggaran Hak</w:t>
      </w:r>
    </w:p>
    <w:p>
      <w:r>
        <w:t xml:space="preserve">7.1 If anyone alleges that the Licensee's use of the Software infringes their rights, the Licensor shall take over the defence of that claim and pay any damages and costs awarded against the Licensee.</w:t>
      </w:r>
    </w:p>
    <w:p>
      <w:r>
        <w:rPr>
          <w:i/>
          <w:color w:val="404040"/>
        </w:rPr>
        <w:t xml:space="preserve">7.1 Apabila ada pihak yang menuduh bahwa penggunaan Perangkat Lunak oleh Penerima Lisensi melanggar haknya, Pemberi Lisensi mengambil alih pembelaan atas tuntutan tersebut dan membayar ganti rugi serta biaya yang dijatuhkan kepada Penerima Lisensi.</w:t>
      </w:r>
    </w:p>
    <w:p>
      <w:pPr>
        <w:pStyle w:val="Heading1"/>
      </w:pPr>
      <w:r>
        <w:t xml:space="preserve">Article 8 / Pasal 8. Term and Termination / Jangka Waktu dan Pengakhiran</w:t>
      </w:r>
    </w:p>
    <w:p>
      <w:r>
        <w:t xml:space="preserve">8.1 The support term is three (3) years from the date of this Agreement and renews for one-year periods unless either party opts out.</w:t>
      </w:r>
    </w:p>
    <w:p>
      <w:r>
        <w:rPr>
          <w:i/>
          <w:color w:val="404040"/>
        </w:rPr>
        <w:t xml:space="preserve">8.1 Jangka waktu dukungan adalah tiga (3) tahun sejak tanggal Perjanjian ini dan diperpanjang untuk masing-masing satu tahun kecuali salah satu pihak menyatakan tidak melanjutkan.</w:t>
      </w:r>
    </w:p>
    <w:p>
      <w:r>
        <w:t xml:space="preserve">8.2 The Licensee may stop the support services at any time, without cause, on forty-five (45) days' notice in writing.</w:t>
      </w:r>
    </w:p>
    <w:p>
      <w:r>
        <w:rPr>
          <w:i/>
          <w:color w:val="404040"/>
        </w:rPr>
        <w:t xml:space="preserve">8.2 Penerima Lisensi dapat menghentikan layanan dukungan kapan saja, tanpa alasan, dengan pemberitahuan tertulis empat puluh lima (45) hari sebelumnya.</w:t>
      </w:r>
    </w:p>
    <w:p>
      <w:r>
        <w:t xml:space="preserve">8.3 Either party may terminate this Agreement if the other materially breaches it and fails to remedy the breach within thirty (30) days of being notified.</w:t>
      </w:r>
    </w:p>
    <w:p>
      <w:r>
        <w:rPr>
          <w:i/>
          <w:color w:val="404040"/>
        </w:rPr>
        <w:t xml:space="preserve">8.3 Masing-masing pihak dapat mengakhiri Perjanjian ini apabila pihak lainnya melakukan pelanggaran material dan tidak memperbaikinya dalam waktu tiga puluh (30) hari setelah diberi tahu.</w:t>
      </w:r>
    </w:p>
    <w:p>
      <w:pPr>
        <w:pStyle w:val="Heading1"/>
      </w:pPr>
      <w:r>
        <w:t xml:space="preserve">Article 9 / Pasal 9. Force Majeure / Keadaan Kahar</w:t>
      </w:r>
    </w:p>
    <w:p>
      <w:r>
        <w:t xml:space="preserve">9.1 A party affected by fire, flood, earthquake, pandemic, war or a failure of public telecommunications networks is not liable for the resulting delay, provided it notifies the other party promptly.</w:t>
      </w:r>
    </w:p>
    <w:p>
      <w:r>
        <w:rPr>
          <w:i/>
          <w:color w:val="404040"/>
        </w:rPr>
        <w:t xml:space="preserve">9.1 Pihak yang terkena kebakaran, banjir, gempa bumi, pandemi, perang atau gangguan jaringan telekomunikasi umum tidak bertanggung jawab atas keterlambatan yang diakibatkannya, asalkan segera memberi tahu pihak lainnya.</w:t>
      </w:r>
    </w:p>
    <w:p>
      <w:pPr>
        <w:pStyle w:val="Heading1"/>
      </w:pPr>
      <w:r>
        <w:t xml:space="preserve">Article 10 / Pasal 10. Law, Language and Disputes / Hukum, Bahasa dan Sengketa</w:t>
      </w:r>
    </w:p>
    <w:p>
      <w:r>
        <w:t xml:space="preserve">10.1 This Agreement is governed by the laws of the Republic of Indonesia.</w:t>
      </w:r>
    </w:p>
    <w:p>
      <w:r>
        <w:rPr>
          <w:i/>
          <w:color w:val="404040"/>
        </w:rPr>
        <w:t xml:space="preserve">10.1 Perjanjian ini diatur oleh hukum Negara Republik Indonesia.</w:t>
      </w:r>
    </w:p>
    <w:p>
      <w:r>
        <w:t xml:space="preserve">10.2 This Agreement is made in English and Indonesian. If the two texts differ, the Indonesian text prevails.</w:t>
      </w:r>
    </w:p>
    <w:p>
      <w:r>
        <w:rPr>
          <w:i/>
          <w:color w:val="404040"/>
        </w:rPr>
        <w:t xml:space="preserve">10.2 Perjanjian ini dibuat dalam bahasa Inggris dan bahasa Indonesia. Apabila terdapat perbedaan, teks bahasa Indonesia yang berlaku.</w:t>
      </w:r>
    </w:p>
    <w:p>
      <w:r>
        <w:t xml:space="preserve">10.3 Disputes shall be settled by arbitration at BANI in Jakarta.</w:t>
      </w:r>
    </w:p>
    <w:p>
      <w:r>
        <w:rPr>
          <w:i/>
          <w:color w:val="404040"/>
        </w:rPr>
        <w:t xml:space="preserve">10.3 Sengketa diselesaikan melalui arbitrase di BANI di Jakarta.</w:t>
      </w:r>
    </w:p>
    <w:tbl>
      <w:tblPr>
        <w:tblW w:w="9000" w:type="dxa"/>
      </w:tblPr>
      <w:tblGrid>
        <w:gridCol w:w="4500"/>
        <w:gridCol w:w="4500"/>
      </w:tblGrid>
      <w:tr>
        <w:tc>
          <w:tcPr>
            <w:tcW w:w="4500" w:type="dxa"/>
          </w:tcPr>
          <w:p>
            <w:r>
              <w:rPr>
                <w:b/>
              </w:rPr>
              <w:t xml:space="preserve">PT Garudafood Putri Jaya Tbk</w:t>
            </w:r>
          </w:p>
          <w:p>
            <w:r>
              <w:t xml:space="preserve"/>
            </w:r>
          </w:p>
          <w:p>
            <w:r>
              <w:t xml:space="preserve">Name: ____________________</w:t>
            </w:r>
          </w:p>
          <w:p>
            <w:r>
              <w:t xml:space="preserve">Title: ____________________</w:t>
            </w:r>
          </w:p>
        </w:tc>
        <w:tc>
          <w:tcPr>
            <w:tcW w:w="4500" w:type="dxa"/>
          </w:tcPr>
          <w:p>
            <w:r>
              <w:rPr>
                <w:b/>
              </w:rPr>
              <w:t xml:space="preserve">PT Contoh Solusi Digital</w:t>
            </w:r>
          </w:p>
          <w:p>
            <w:r>
              <w:t xml:space="preserve"/>
            </w:r>
          </w:p>
          <w:p>
            <w:r>
              <w:t xml:space="preserve">Name: ____________________</w:t>
            </w:r>
          </w:p>
          <w:p>
            <w:r>
              <w:t xml:space="preserve">Title: ____________________</w:t>
            </w:r>
          </w:p>
        </w:tc>
      </w:tr>
    </w:tbl>
    <w:sectPr/>
  </w:body>
</w:document>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w:docDefaults>
    <w:rPrDefault>
      <w:rPr>
        <w:rFonts w:ascii="Calibri" w:hAnsi="Calibri"/>
        <w:sz w:val="22"/>
      </w:rPr>
    </w:rPrDefault>
    <w:pPrDefault>
      <w:pPr>
        <w:spacing w:after="120" w:line="276" w:lineRule="auto"/>
        <w:jc w:val="both"/>
      </w:pPr>
    </w:pPrDefault>
  </w:docDefaults>
  <w:style w:type="paragraph" w:default="1" w:styleId="Normal">
    <w:name w:val="Normal"/>
  </w:style>
  <w:style w:type="paragraph" w:styleId="Title">
    <w:name w:val="Title"/>
    <w:basedOn w:val="Normal"/>
    <w:pPr>
      <w:jc w:val="center"/>
      <w:spacing w:after="60"/>
    </w:pPr>
    <w:rPr>
      <w:b/>
      <w:sz w:val="32"/>
      <w:color w:val="0054A4"/>
    </w:rPr>
  </w:style>
  <w:style w:type="paragraph" w:styleId="Subtitle">
    <w:name w:val="Subtitle"/>
    <w:basedOn w:val="Normal"/>
    <w:pPr>
      <w:jc w:val="center"/>
      <w:spacing w:after="360"/>
    </w:pPr>
    <w:rPr>
      <w:i/>
      <w:color w:val="555555"/>
    </w:rPr>
  </w:style>
  <w:style w:type="paragraph" w:styleId="Heading1">
    <w:name w:val="heading 1"/>
    <w:basedOn w:val="Normal"/>
    <w:pPr>
      <w:keepNext/>
      <w:spacing w:before="240" w:after="120"/>
      <w:jc w:val="left"/>
      <w:outlineLvl w:val="0"/>
    </w:pPr>
    <w:rPr>
      <w:b/>
      <w:sz w:val="24"/>
      <w:color w:val="0054A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Template>Normal.dotm</Template>
  <Application>Microsoft Office Word</Application>
  <AppVersion>16.0000</AppVersion>
  <Company>PT Contoh Solusi Digital</Company>
</Properties>
</file>

<file path=docProps/core.xml><?xml version="1.0" encoding="utf-8"?>
<cp:coreProperties xmlns:cp="http://schemas.openxmlformats.org/package/2006/metadata/core-properties" xmlns:dc="http://purl.org/dc/elements/1.1/" xmlns:dcterms="http://purl.org/dc/terms/" xmlns:xsi="http://www.w3.org/2001/XMLSchema-instance">
  <dc:title>Software Licence and Support Agreement</dc:title>
  <dc:subject>Warehouse management software</dc:subject>
  <dc:creator>Rina Kusuma</dc:creator>
  <cp:lastModifiedBy>Rina Kusuma</cp:lastModifiedBy>
  <cp:revision>3</cp:revision>
  <dcterms:created xsi:type="dcterms:W3CDTF">2027-02-10T01:45:00Z</dcterms:created>
  <dcterms:modified xsi:type="dcterms:W3CDTF">2027-02-10T01:45:00Z</dcterms:modified>
</cp:coreProperties>
</file>