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4E79"/>
          <w:sz w:val="56"/>
          <w:szCs w:val="56"/>
        </w:rPr>
        <w:t xml:space="preserve">Dental AI Detection System</w:t>
      </w:r>
    </w:p>
    <w:p>
      <w:pPr>
        <w:spacing w:after="80" w:before="0"/>
      </w:pPr>
      <w:r>
        <w:rPr>
          <w:rFonts w:ascii="Arial" w:cs="Arial" w:eastAsia="Arial" w:hAnsi="Arial"/>
          <w:color w:val="2E75B6"/>
          <w:sz w:val="28"/>
          <w:szCs w:val="28"/>
        </w:rPr>
        <w:t xml:space="preserve">Solution Recommendation &amp; Technical Specification</w:t>
      </w:r>
    </w:p>
    <w:p>
      <w:pPr>
        <w:spacing w:after="40" w:before="0"/>
      </w:pPr>
      <w:r>
        <w:rPr>
          <w:rFonts w:ascii="Arial" w:cs="Arial" w:eastAsia="Arial" w:hAnsi="Arial"/>
          <w:color w:val="888888"/>
          <w:sz w:val="20"/>
          <w:szCs w:val="20"/>
        </w:rPr>
        <w:t xml:space="preserve">Prepared by EbusinessPal Sdn. Bhd.  |  June 2026</w:t>
      </w:r>
    </w:p>
    <w:p>
      <w:pPr>
        <w:pBdr>
          <w:bottom w:val="single" w:color="2E75B6" w:sz="8" w:space="4"/>
        </w:pBdr>
        <w:spacing w:after="400" w:before="0"/>
      </w:pPr>
      <w:r>
        <w:rPr>
          <w:rFonts w:ascii="Arial" w:cs="Arial" w:eastAsia="Arial" w:hAnsi="Arial"/>
          <w:i/>
          <w:iCs/>
          <w:color w:val="888888"/>
          <w:sz w:val="18"/>
          <w:szCs w:val="18"/>
        </w:rPr>
        <w:t xml:space="preserve">Based on: Dental AI Detection Brief v2 (signed)</w:t>
      </w:r>
    </w:p>
    <w:p>
      <w:pPr>
        <w:pStyle w:val="Heading1"/>
        <w:pBdr>
          <w:bottom w:val="single" w:color="2E75B6" w:sz="6" w:space="1"/>
        </w:pBdr>
        <w:spacing w:after="160" w:before="360"/>
      </w:pPr>
      <w:r>
        <w:rPr>
          <w:rFonts w:ascii="Arial" w:cs="Arial" w:eastAsia="Arial" w:hAnsi="Arial"/>
          <w:b/>
          <w:bCs/>
          <w:color w:val="1F4E79"/>
          <w:sz w:val="32"/>
          <w:szCs w:val="32"/>
        </w:rPr>
        <w:t xml:space="preserve">1. Document Overview</w:t>
      </w:r>
    </w:p>
    <w:p>
      <w:pPr>
        <w:spacing w:after="80" w:before="80"/>
      </w:pPr>
      <w:r>
        <w:rPr>
          <w:rFonts w:ascii="Arial" w:cs="Arial" w:eastAsia="Arial" w:hAnsi="Arial"/>
          <w:sz w:val="20"/>
          <w:szCs w:val="20"/>
        </w:rPr>
        <w:t xml:space="preserve">The following document summarises the solution architecture, model recommendations, training datasets, and implementation notes for the Dental AI Detection system requested in the signed Detection Specification Brief.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r>
              <w:rPr>
                <w:rFonts w:ascii="Arial" w:cs="Arial" w:eastAsia="Arial" w:hAnsi="Arial"/>
                <w:b/>
                <w:bCs/>
                <w:sz w:val="20"/>
                <w:szCs w:val="20"/>
              </w:rPr>
              <w:t xml:space="preserve">Product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AI tool for panoramic X-ray (OPG)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Pre-consultation screening for dental call centers — auto-generate preliminary treatment plans before patient visits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r>
              <w:rPr>
                <w:rFonts w:ascii="Arial" w:cs="Arial" w:eastAsia="Arial" w:hAnsi="Arial"/>
                <w:b/>
                <w:bCs/>
                <w:sz w:val="20"/>
                <w:szCs w:val="20"/>
              </w:rPr>
              <w:t xml:space="preserve">End Users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Dental call center staff / sales team (non-clinical)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Structured report with tooth-level findings and implant site assessment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r>
              <w:rPr>
                <w:rFonts w:ascii="Arial" w:cs="Arial" w:eastAsia="Arial" w:hAnsi="Arial"/>
                <w:b/>
                <w:bCs/>
                <w:sz w:val="20"/>
                <w:szCs w:val="20"/>
              </w:rPr>
              <w:t xml:space="preserve">Client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Ghaith Hafez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Vendor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Clavis Labs</w:t>
            </w:r>
          </w:p>
        </w:tc>
      </w:tr>
    </w:tbl>
    <w:p>
      <w:pPr>
        <w:spacing w:after="80" w:before="8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2. Detection Targets Summary</w:t>
      </w:r>
    </w:p>
    <w:p>
      <w:pPr>
        <w:spacing w:after="80" w:before="80"/>
      </w:pPr>
      <w:r>
        <w:rPr>
          <w:rFonts w:ascii="Arial" w:cs="Arial" w:eastAsia="Arial" w:hAnsi="Arial"/>
          <w:sz w:val="20"/>
          <w:szCs w:val="20"/>
        </w:rPr>
        <w:t xml:space="preserve">The brief specifies 8 detection targets across two modules. All pathology detection targets (Sections 2.1–2.6) have defined criteria. The implant site assessment module (Section 3) still requires clinical criteria and annotated training images from the client.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Detection Target</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What It Detects</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How Detected</w:t>
            </w:r>
          </w:p>
        </w:tc>
        <w:tc>
          <w:tcPr>
            <w:tcW w:type="dxa" w:w="21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2.1 Tooth Detection &amp; Numbering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All teeth in OPG with FDI numbering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Classify by type (incisor/canine/premolar/molar), assign quadrant &amp; number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MVP – 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2.2 Missing Teeth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Gaps in dental arch mapped to expected FDI numbers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Gap detection based on surrounding teeth and anatomy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MVP – Core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2.3 Caries (Cavities)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Dark radiolucent areas on tooth structure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Dark spots on enamel/dentin, between teeth or on chewing surfaces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2.4 Periapical Lesions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Infections — dark areas at root tip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Radiolucent rounded area at apex of tooth root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MVP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2.5 Existing Crowns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Prosthetic crowns already on teeth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Bright radiopaque cap-shaped structure, different density to natural tooth</w:t>
            </w:r>
          </w:p>
        </w:tc>
        <w:tc>
          <w:tcPr>
            <w:tcW w:type="dxa" w:w="2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2.6 Root Canal Treated Teeth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Teeth with filled root canals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Radiopaque material visible within root canal space covering all roots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MVP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3.1 Sinus Assessment (Upper Jaw)</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Bone-to-sinus floor distance at missing tooth sites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Measure residual bone height; apply sinus lift decision thresholds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Core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3.2 Nerve Assessment (Lower Jaw)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Bone-to-nerve canal distance at missing tooth sites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Measure bone height above inferior alveolar nerve; apply safety thresholds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Core Value</w:t>
            </w:r>
          </w:p>
        </w:tc>
      </w:tr>
    </w:tbl>
    <w:p>
      <w:pPr>
        <w:spacing w:after="80" w:before="8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3. Recommended Architecture</w:t>
      </w:r>
    </w:p>
    <w:p>
      <w:pPr>
        <w:spacing w:after="80" w:before="80"/>
      </w:pPr>
      <w:r>
        <w:rPr>
          <w:rFonts w:ascii="Arial" w:cs="Arial" w:eastAsia="Arial" w:hAnsi="Arial"/>
          <w:sz w:val="20"/>
          <w:szCs w:val="20"/>
        </w:rPr>
        <w:t xml:space="preserve">A two-stage pipeline is the correct approach for this use case. The first stage establishes accurate tooth localisation as the foundation; the second stage runs specialised sub-models per tooth and per anatomical landmark.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Stage</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Task</w:t>
            </w:r>
          </w:p>
        </w:tc>
        <w:tc>
          <w:tcPr>
            <w:tcW w:type="dxa" w:w="45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Stage 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Instance Segmentation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YOLOv8-seg or Mask R-CNN to detect and segment each individual tooth, assign FDI numbers, and identify arch gaps for missing teeth. This is the foundation — all downstream tasks depend on accurate tooth localization.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Stage 2A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Per-Tooth Classification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Once teeth are localized, secondary classifiers run per cropped tooth ROI to flag caries, periapical lesions, existing crowns, and RCT presence.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Stage 2B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Landmark Regression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A dedicated regression head detects anatomical landmarks: bone crest, sinus floor, and inferior alveolar nerve canal. Distances are then computed programmatically and matched against clinical decision thresholds.</w:t>
            </w:r>
          </w:p>
        </w:tc>
      </w:tr>
    </w:tbl>
    <w:p>
      <w:pPr>
        <w:spacing w:after="80" w:before="80"/>
      </w:pPr>
      <w:r>
        <w:t xml:space="preserve"/>
      </w:r>
    </w:p>
    <w:p>
      <w:pPr>
        <w:pBdr>
          <w:left w:val="single" w:color="2E75B6" w:sz="12" w:space="4"/>
        </w:pBdr>
        <w:shd w:fill="D5E8F0" w:val="clear"/>
        <w:spacing w:after="120" w:before="120"/>
        <w:ind w:left="360"/>
      </w:pPr>
      <w:r>
        <w:rPr>
          <w:rFonts w:ascii="Arial" w:cs="Arial" w:eastAsia="Arial" w:hAnsi="Arial"/>
          <w:i/>
          <w:iCs/>
          <w:sz w:val="20"/>
          <w:szCs w:val="20"/>
        </w:rPr>
        <w:t xml:space="preserve">The implant site assessment module is the highest clinical-value component. The AI measures bone distances; hardcoded post-processing rules apply the clinical decision thresholds. This keeps the logic auditable and separates model uncertainty from business logic.</w:t>
      </w:r>
    </w:p>
    <w:p>
      <w:pPr>
        <w:spacing w:after="80" w:before="8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4. Recommended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Task</w:t>
            </w:r>
          </w:p>
        </w:tc>
        <w:tc>
          <w:tcPr>
            <w:tcW w:type="dxa" w:w="27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Recommended Model</w:t>
            </w:r>
          </w:p>
        </w:tc>
        <w:tc>
          <w:tcPr>
            <w:tcW w:type="dxa" w:w="4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Tooth segmentation + FDI numbering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YOLOv8-seg or RT-DETR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Real-time capable, strong small-object performance on panoramic images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Caries / Lesion / Crown / RCT classification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EfficientNet-B3 or ConvNeXt-Tiny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Lightweight, fast inference; runs on cropped per-tooth ROI patches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Bone landmark detection (sinus/nerve)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HRNet or U-Net with regression head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Heatmap-based landmark localization; robust to OPG image variability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Pipeline orchestration &amp; DICOM handling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MONAI framework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Purpose-built for medical imaging; handles DICOM natively</w:t>
            </w:r>
          </w:p>
        </w:tc>
      </w:tr>
    </w:tbl>
    <w:p>
      <w:pPr>
        <w:spacing w:after="80" w:before="8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5. Training Datasets</w:t>
      </w:r>
    </w:p>
    <w:p>
      <w:pPr>
        <w:pStyle w:val="Heading2"/>
        <w:spacing w:after="120" w:before="280"/>
      </w:pPr>
      <w:r>
        <w:rPr>
          <w:rFonts w:ascii="Arial" w:cs="Arial" w:eastAsia="Arial" w:hAnsi="Arial"/>
          <w:b/>
          <w:bCs/>
          <w:color w:val="2E75B6"/>
          <w:sz w:val="26"/>
          <w:szCs w:val="26"/>
        </w:rPr>
        <w:t xml:space="preserve">5.1 Publicly Available Datasets</w:t>
      </w:r>
    </w:p>
    <w:p>
      <w:pPr>
        <w:spacing w:after="80" w:before="80"/>
      </w:pPr>
      <w:r>
        <w:rPr>
          <w:rFonts w:ascii="Arial" w:cs="Arial" w:eastAsia="Arial" w:hAnsi="Arial"/>
          <w:sz w:val="20"/>
          <w:szCs w:val="20"/>
        </w:rPr>
        <w:t xml:space="preserve">The following public datasets cover Modules 1 and 2.1–2.4. DENTEX is the single most important dataset for this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Dataset</w:t>
            </w:r>
          </w:p>
        </w:tc>
        <w:tc>
          <w:tcPr>
            <w:tcW w:type="dxa" w:w="21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Size</w:t>
            </w:r>
          </w:p>
        </w:tc>
        <w:tc>
          <w:tcPr>
            <w:tcW w:type="dxa" w:w="4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Relevance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Tufts Dental Database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~1,000 OPGs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FDI tooth annotations; covers tooth detection and numbering (Sections 2.1–2.2)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DENTEX (MICCAI 2023)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3,000+ OPGs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CORE DATASET — tooth instance segmentation + disease labels (caries, periapical, impacted). Directly covers Sections 2.1–2.4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Panoramic Dental X-ray (Kaggle / Roboflow)</w:t>
            </w:r>
          </w:p>
        </w:tc>
        <w:tc>
          <w:tcPr>
            <w:tcW w:type="dxa" w:w="2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500–2,000 OPGs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Variable quality; useful for data augmentation and domain diversity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CraniofacialLandmark Dataset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Varies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Anatomical landmark annotations; partial help for nerve/sinus landmark pre-training</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5.2 Data Gap — Implant Site Assessment</w:t>
      </w:r>
    </w:p>
    <w:p>
      <w:pPr>
        <w:spacing w:after="80" w:before="80"/>
      </w:pPr>
      <w:r>
        <w:rPr>
          <w:rFonts w:ascii="Arial" w:cs="Arial" w:eastAsia="Arial" w:hAnsi="Arial"/>
          <w:sz w:val="20"/>
          <w:szCs w:val="20"/>
        </w:rPr>
        <w:t xml:space="preserve">The signed brief (Section 3.3) correctly flags that sinus floor and inferior alveolar nerve canal annotations are not available in any public dataset. This is the most significant data acquisition challenge for the project. Three options are available:</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Client provides annotated panoramic images with bone crest, sinus floor, and nerve canal landmarks marked (preferred — fastest and most clinically accurate)</w:t>
      </w:r>
    </w:p>
    <w:p>
      <w:pPr>
        <w:pStyle w:val="ListParagraph"/>
        <w:numPr>
          <w:ilvl w:val="0"/>
          <w:numId w:val="2"/>
        </w:numPr>
        <w:spacing w:after="60" w:before="60"/>
      </w:pPr>
      <w:r>
        <w:rPr>
          <w:rFonts w:ascii="Arial" w:cs="Arial" w:eastAsia="Arial" w:hAnsi="Arial"/>
          <w:sz w:val="20"/>
          <w:szCs w:val="20"/>
        </w:rPr>
        <w:t xml:space="preserve">Search existing research datasets for partially annotated cases and supplement</w:t>
      </w:r>
    </w:p>
    <w:p>
      <w:pPr>
        <w:pStyle w:val="ListParagraph"/>
        <w:numPr>
          <w:ilvl w:val="0"/>
          <w:numId w:val="2"/>
        </w:numPr>
        <w:spacing w:after="60" w:before="60"/>
      </w:pPr>
      <w:r>
        <w:rPr>
          <w:rFonts w:ascii="Arial" w:cs="Arial" w:eastAsia="Arial" w:hAnsi="Arial"/>
          <w:sz w:val="20"/>
          <w:szCs w:val="20"/>
        </w:rPr>
        <w:t xml:space="preserve">Budget separately for annotation work via a medical annotation platform (Scale AI or Label Studio) with a contracted dental radiologist — estimated 200–400 annotated OPGs minimum for this module</w:t>
      </w:r>
    </w:p>
    <w:p>
      <w:pPr>
        <w:spacing w:after="80" w:before="8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6. Implant Site Decision Thresholds</w:t>
      </w:r>
    </w:p>
    <w:p>
      <w:pPr>
        <w:spacing w:after="80" w:before="80"/>
      </w:pPr>
      <w:r>
        <w:rPr>
          <w:rFonts w:ascii="Arial" w:cs="Arial" w:eastAsia="Arial" w:hAnsi="Arial"/>
          <w:sz w:val="20"/>
          <w:szCs w:val="20"/>
        </w:rPr>
        <w:t xml:space="preserve">The following thresholds must be hardcoded as post-processing rules in the system — not learned by the model. The AI predicts measurements; these tables classify them into actionable flags for call center agents.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6.1 Upper Jaw — Sinus Lift Assessment</w:t>
      </w:r>
    </w:p>
    <w:p>
      <w:pPr>
        <w:spacing w:after="80" w:before="80"/>
      </w:pPr>
      <w:r>
        <w:rPr>
          <w:rFonts w:ascii="Arial" w:cs="Arial" w:eastAsia="Arial" w:hAnsi="Arial"/>
          <w:sz w:val="20"/>
          <w:szCs w:val="20"/>
        </w:rPr>
        <w:t xml:space="preserve">The dentist measures the distance from the crest of the bone to the floor of the sinus at each missing upper posterior tooth site.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Residual Bone Height</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Clinical Decision</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AI Flag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 10 mm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Implant placed without sinus lift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CLEAR — proceed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7–9 mm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Possibly short implant or minor (internal) sinus lift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CAUTION — review</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4–6 mm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Often internal sinus lift with implant placement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SINUS LIFT likely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 3–4 mm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Usually lateral sinus lift first, implant later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SINUS LIFT required</w:t>
            </w:r>
          </w:p>
        </w:tc>
      </w:tr>
    </w:tbl>
    <w:p>
      <w:pPr>
        <w:spacing w:after="80" w:before="80"/>
      </w:pPr>
      <w:r>
        <w:t xml:space="preserve"/>
      </w:r>
    </w:p>
    <w:p>
      <w:pPr>
        <w:pBdr>
          <w:left w:val="single" w:color="2E75B6" w:sz="12" w:space="4"/>
        </w:pBdr>
        <w:shd w:fill="D5E8F0" w:val="clear"/>
        <w:spacing w:after="120" w:before="120"/>
        <w:ind w:left="360"/>
      </w:pPr>
      <w:r>
        <w:rPr>
          <w:rFonts w:ascii="Arial" w:cs="Arial" w:eastAsia="Arial" w:hAnsi="Arial"/>
          <w:i/>
          <w:iCs/>
          <w:sz w:val="20"/>
          <w:szCs w:val="20"/>
        </w:rPr>
        <w:t xml:space="preserve">Note: Most implants are 8–13 mm long. To place a 10 mm implant safely, approximately 10 mm of bone height is required, or sufficient bone for primary stability if performing a sinus lift. Short implants (6–8 mm) can sometimes avoid sinus lift.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6.2 Lower Jaw — Nerve Proximity Assessment</w:t>
      </w:r>
    </w:p>
    <w:p>
      <w:pPr>
        <w:spacing w:after="80" w:before="80"/>
      </w:pPr>
      <w:r>
        <w:rPr>
          <w:rFonts w:ascii="Arial" w:cs="Arial" w:eastAsia="Arial" w:hAnsi="Arial"/>
          <w:sz w:val="20"/>
          <w:szCs w:val="20"/>
        </w:rPr>
        <w:t xml:space="preserve">The dentist measures the distance from the crest of the bone to the top of the mandibular nerve canal at each missing lower posterior tooth site. A 2 mm safety buffer is maintained from the nerve.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Bone Height Above Nerve</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Interpretation</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AI Flag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 12 mm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Usually safe for standard implant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CLEAR — proceed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10–12 mm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Caution zone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CAUTION — short implant consider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&lt; 10 mm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Short implant or alternative needed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HIGH CAUTION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&lt; 6–8 mm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High nerve risk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NERVE RISK — special procedure</w:t>
            </w:r>
          </w:p>
        </w:tc>
      </w:tr>
    </w:tbl>
    <w:p>
      <w:pPr>
        <w:spacing w:after="80" w:before="8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7. Key Implementation Notes</w:t>
      </w:r>
    </w:p>
    <w:p>
      <w:pPr>
        <w:pStyle w:val="Heading2"/>
        <w:spacing w:after="120" w:before="280"/>
      </w:pPr>
      <w:r>
        <w:rPr>
          <w:rFonts w:ascii="Arial" w:cs="Arial" w:eastAsia="Arial" w:hAnsi="Arial"/>
          <w:b/>
          <w:bCs/>
          <w:color w:val="2E75B6"/>
          <w:sz w:val="26"/>
          <w:szCs w:val="26"/>
        </w:rPr>
        <w:t xml:space="preserve">7.1 False Positive Management for Caries</w:t>
      </w:r>
    </w:p>
    <w:p>
      <w:pPr>
        <w:spacing w:after="80" w:before="80"/>
      </w:pPr>
      <w:r>
        <w:rPr>
          <w:rFonts w:ascii="Arial" w:cs="Arial" w:eastAsia="Arial" w:hAnsi="Arial"/>
          <w:sz w:val="20"/>
          <w:szCs w:val="20"/>
        </w:rPr>
        <w:t xml:space="preserve">The brief explicitly includes cervical burnout as a caries false positive case (Section 2.3). A dedicated negative-class training set is required, sourced from the client's existing confirmed false-positive image library. Without this, caries recall will be artificially inflated.</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7.2 Output Format</w:t>
      </w:r>
    </w:p>
    <w:p>
      <w:pPr>
        <w:spacing w:after="80" w:before="80"/>
      </w:pPr>
      <w:r>
        <w:rPr>
          <w:rFonts w:ascii="Arial" w:cs="Arial" w:eastAsia="Arial" w:hAnsi="Arial"/>
          <w:sz w:val="20"/>
          <w:szCs w:val="20"/>
        </w:rPr>
        <w:t xml:space="preserve">Since end users are non-clinical call center agents, the AI output should be:</w:t>
      </w:r>
    </w:p>
    <w:p>
      <w:pPr>
        <w:pStyle w:val="ListParagraph"/>
        <w:numPr>
          <w:ilvl w:val="0"/>
          <w:numId w:val="3"/>
        </w:numPr>
        <w:spacing w:after="60" w:before="60"/>
      </w:pPr>
      <w:r>
        <w:rPr>
          <w:rFonts w:ascii="Arial" w:cs="Arial" w:eastAsia="Arial" w:hAnsi="Arial"/>
          <w:sz w:val="20"/>
          <w:szCs w:val="20"/>
        </w:rPr>
        <w:t xml:space="preserve">A structured JSON report rendered into a simple, readable UI</w:t>
      </w:r>
    </w:p>
    <w:p>
      <w:pPr>
        <w:pStyle w:val="ListParagraph"/>
        <w:numPr>
          <w:ilvl w:val="0"/>
          <w:numId w:val="3"/>
        </w:numPr>
        <w:spacing w:after="60" w:before="60"/>
      </w:pPr>
      <w:r>
        <w:rPr>
          <w:rFonts w:ascii="Arial" w:cs="Arial" w:eastAsia="Arial" w:hAnsi="Arial"/>
          <w:sz w:val="20"/>
          <w:szCs w:val="20"/>
        </w:rPr>
        <w:t xml:space="preserve">A tooth chart with per-tooth flags (no raw probability scores exposed to agents)</w:t>
      </w:r>
    </w:p>
    <w:p>
      <w:pPr>
        <w:pStyle w:val="ListParagraph"/>
        <w:numPr>
          <w:ilvl w:val="0"/>
          <w:numId w:val="3"/>
        </w:numPr>
        <w:spacing w:after="60" w:before="60"/>
      </w:pPr>
      <w:r>
        <w:rPr>
          <w:rFonts w:ascii="Arial" w:cs="Arial" w:eastAsia="Arial" w:hAnsi="Arial"/>
          <w:sz w:val="20"/>
          <w:szCs w:val="20"/>
        </w:rPr>
        <w:t xml:space="preserve">An implant site summary per missing tooth with plain-language flags (e.g., CLEAR / CAUTION / SINUS LIFT REQUIRED)</w:t>
      </w:r>
    </w:p>
    <w:p>
      <w:pPr>
        <w:pStyle w:val="ListParagraph"/>
        <w:numPr>
          <w:ilvl w:val="0"/>
          <w:numId w:val="3"/>
        </w:numPr>
        <w:spacing w:after="60" w:before="60"/>
      </w:pPr>
      <w:r>
        <w:rPr>
          <w:rFonts w:ascii="Arial" w:cs="Arial" w:eastAsia="Arial" w:hAnsi="Arial"/>
          <w:sz w:val="20"/>
          <w:szCs w:val="20"/>
        </w:rPr>
        <w:t xml:space="preserve">A disclaimer printed on every report: 'This is a pre-consultation screening report only. All findings require clinical confirmation by a licensed dentist.'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7.3 Regulatory Consideration</w:t>
      </w:r>
    </w:p>
    <w:p>
      <w:pPr>
        <w:spacing w:after="80" w:before="80"/>
      </w:pPr>
      <w:r>
        <w:rPr>
          <w:rFonts w:ascii="Arial" w:cs="Arial" w:eastAsia="Arial" w:hAnsi="Arial"/>
          <w:sz w:val="20"/>
          <w:szCs w:val="20"/>
        </w:rPr>
        <w:t xml:space="preserve">Since this tool is framed as a pre-consultation screening aid for non-clinical staff (not a diagnostic tool for licensed clinicians), it may fall outside Class II medical device classification in most jurisdictions. However, legal review is strongly recommended before any commercial deployment — particularly in GCC markets where SFDA (Saudi Arabia) and DHA (UAE) medical device regulations apply.</w:t>
      </w:r>
    </w:p>
    <w:p>
      <w:pPr>
        <w:spacing w:after="80" w:before="8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8. System Limitations</w:t>
      </w:r>
    </w:p>
    <w:p>
      <w:pPr>
        <w:spacing w:after="80" w:before="80"/>
      </w:pPr>
      <w:r>
        <w:rPr>
          <w:rFonts w:ascii="Arial" w:cs="Arial" w:eastAsia="Arial" w:hAnsi="Arial"/>
          <w:sz w:val="20"/>
          <w:szCs w:val="20"/>
        </w:rPr>
        <w:t xml:space="preserve">The following limitations are inherent to panoramic X-ray analysis and cannot be overcome by AI model improvements: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Limitation</w:t>
            </w:r>
          </w:p>
        </w:tc>
        <w:tc>
          <w:tcPr>
            <w:tcW w:type="dxa" w:w="624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Reason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Bone width / volume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Panoramic X-rays are 2D. Bone HEIGHT is measurable but not THICKNESS. Width assessment requires CBCT (3D imaging).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Definitive treatment decisions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This tool provides screening flags only. Final treatment decisions require clinical examination by a licensed dentist.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Soft tissue conditions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X-rays show hard tissue (bone, teeth) only. Gum disease and soft tissue lesions are not visible on OPG.</w:t>
            </w:r>
          </w:p>
        </w:tc>
      </w:tr>
    </w:tbl>
    <w:p>
      <w:pPr>
        <w:spacing w:after="80" w:before="8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9. Pending Items — Required From Client</w:t>
      </w:r>
    </w:p>
    <w:p>
      <w:pPr>
        <w:spacing w:after="80" w:before="80"/>
      </w:pPr>
      <w:r>
        <w:rPr>
          <w:rFonts w:ascii="Arial" w:cs="Arial" w:eastAsia="Arial" w:hAnsi="Arial"/>
          <w:sz w:val="20"/>
          <w:szCs w:val="20"/>
        </w:rPr>
        <w:t xml:space="preserve">The following items must be resolved before development of the implant site assessment module (Section 3) can begin. All items below correspond to yellow-highlighted fields in the signed brief that remain unfilled: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Required Item</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Status / Action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Annotated sinus floor landmark images (Section 3.1)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REQUIRED — not yet provided by client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Annotated nerve canal landmark images (Section 3.2)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REQUIRED — not yet provided by client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Confirmation on annotated image availability (Section 3.3)</w:t>
            </w:r>
          </w:p>
        </w:tc>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Client sign-off table is blank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Target deployment latency requirement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Real-time (during call) vs. async report changes model size constraints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False positive training samples for caries (cervical burnout)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sz w:val="20"/>
                <w:szCs w:val="20"/>
              </w:rPr>
              <w:t xml:space="preserve">Client to provide confirmed false-positive cases from existing library</w:t>
            </w:r>
          </w:p>
        </w:tc>
      </w:tr>
    </w:tbl>
    <w:p>
      <w:pPr>
        <w:spacing w:after="80" w:before="80"/>
      </w:pPr>
      <w:r>
        <w:t xml:space="preserve"/>
      </w:r>
    </w:p>
    <w:p>
      <w:pPr>
        <w:pBdr>
          <w:left w:val="single" w:color="2E75B6" w:sz="12" w:space="4"/>
        </w:pBdr>
        <w:shd w:fill="D5E8F0" w:val="clear"/>
        <w:spacing w:after="120" w:before="120"/>
        <w:ind w:left="360"/>
      </w:pPr>
      <w:r>
        <w:rPr>
          <w:rFonts w:ascii="Arial" w:cs="Arial" w:eastAsia="Arial" w:hAnsi="Arial"/>
          <w:i/>
          <w:iCs/>
          <w:sz w:val="20"/>
          <w:szCs w:val="20"/>
        </w:rPr>
        <w:t xml:space="preserve">The pathology detection module (Sections 2.1–2.6) can proceed immediately using public datasets. The implant site assessment module is blocked pending resolution of items 1, 2, and 3 above.</w:t>
      </w:r>
    </w:p>
    <w:p>
      <w:pPr>
        <w:spacing w:after="80" w:before="8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10. Recommended Next Steps</w:t>
      </w:r>
    </w:p>
    <w:p>
      <w:pPr>
        <w:pStyle w:val="ListParagraph"/>
        <w:numPr>
          <w:ilvl w:val="0"/>
          <w:numId w:val="2"/>
        </w:numPr>
        <w:spacing w:after="60" w:before="60"/>
      </w:pPr>
      <w:r>
        <w:rPr>
          <w:rFonts w:ascii="Arial" w:cs="Arial" w:eastAsia="Arial" w:hAnsi="Arial"/>
          <w:sz w:val="20"/>
          <w:szCs w:val="20"/>
        </w:rPr>
        <w:t xml:space="preserve">Confirm deployment latency requirement: real-time during call vs. asynchronous report generation (affects model architecture choices)</w:t>
      </w:r>
    </w:p>
    <w:p>
      <w:pPr>
        <w:pStyle w:val="ListParagraph"/>
        <w:numPr>
          <w:ilvl w:val="0"/>
          <w:numId w:val="2"/>
        </w:numPr>
        <w:spacing w:after="60" w:before="60"/>
      </w:pPr>
      <w:r>
        <w:rPr>
          <w:rFonts w:ascii="Arial" w:cs="Arial" w:eastAsia="Arial" w:hAnsi="Arial"/>
          <w:sz w:val="20"/>
          <w:szCs w:val="20"/>
        </w:rPr>
        <w:t xml:space="preserve">Client to review Section 3.3 of the brief and confirm annotated image availability for sinus floor and nerve canal landmarks</w:t>
      </w:r>
    </w:p>
    <w:p>
      <w:pPr>
        <w:pStyle w:val="ListParagraph"/>
        <w:numPr>
          <w:ilvl w:val="0"/>
          <w:numId w:val="2"/>
        </w:numPr>
        <w:spacing w:after="60" w:before="60"/>
      </w:pPr>
      <w:r>
        <w:rPr>
          <w:rFonts w:ascii="Arial" w:cs="Arial" w:eastAsia="Arial" w:hAnsi="Arial"/>
          <w:sz w:val="20"/>
          <w:szCs w:val="20"/>
        </w:rPr>
        <w:t xml:space="preserve">If no annotated images available, scope and budget annotation work with a dental radiologist — recommended minimum 200–400 OPGs for implant module</w:t>
      </w:r>
    </w:p>
    <w:p>
      <w:pPr>
        <w:pStyle w:val="ListParagraph"/>
        <w:numPr>
          <w:ilvl w:val="0"/>
          <w:numId w:val="2"/>
        </w:numPr>
        <w:spacing w:after="60" w:before="60"/>
      </w:pPr>
      <w:r>
        <w:rPr>
          <w:rFonts w:ascii="Arial" w:cs="Arial" w:eastAsia="Arial" w:hAnsi="Arial"/>
          <w:sz w:val="20"/>
          <w:szCs w:val="20"/>
        </w:rPr>
        <w:t xml:space="preserve">Procure DENTEX dataset (MICCAI 2023) as the primary training set for pathology detection</w:t>
      </w:r>
    </w:p>
    <w:p>
      <w:pPr>
        <w:pStyle w:val="ListParagraph"/>
        <w:numPr>
          <w:ilvl w:val="0"/>
          <w:numId w:val="2"/>
        </w:numPr>
        <w:spacing w:after="60" w:before="60"/>
      </w:pPr>
      <w:r>
        <w:rPr>
          <w:rFonts w:ascii="Arial" w:cs="Arial" w:eastAsia="Arial" w:hAnsi="Arial"/>
          <w:sz w:val="20"/>
          <w:szCs w:val="20"/>
        </w:rPr>
        <w:t xml:space="preserve">Define output report template with call center operations team before model training begins</w:t>
      </w:r>
    </w:p>
    <w:p>
      <w:pPr>
        <w:pStyle w:val="ListParagraph"/>
        <w:numPr>
          <w:ilvl w:val="0"/>
          <w:numId w:val="2"/>
        </w:numPr>
        <w:spacing w:after="60" w:before="60"/>
      </w:pPr>
      <w:r>
        <w:rPr>
          <w:rFonts w:ascii="Arial" w:cs="Arial" w:eastAsia="Arial" w:hAnsi="Arial"/>
          <w:sz w:val="20"/>
          <w:szCs w:val="20"/>
        </w:rPr>
        <w:t xml:space="preserve">Legal review of regulatory classification before any commercial deployment or clinical environment testing</w:t>
      </w:r>
    </w:p>
    <w:p>
      <w:pPr>
        <w:spacing w:after="80" w:before="80"/>
      </w:pPr>
      <w:r>
        <w:t xml:space="preserve"/>
      </w:r>
    </w:p>
    <w:p>
      <w:pPr>
        <w:pBdr>
          <w:top w:val="single" w:color="2E75B6" w:sz="6" w:space="4"/>
        </w:pBdr>
        <w:spacing w:after="80" w:before="320"/>
      </w:pPr>
      <w:r>
        <w:rPr>
          <w:rFonts w:ascii="Arial" w:cs="Arial" w:eastAsia="Arial" w:hAnsi="Arial"/>
          <w:i/>
          <w:iCs/>
          <w:color w:val="888888"/>
          <w:sz w:val="18"/>
          <w:szCs w:val="18"/>
        </w:rPr>
        <w:t xml:space="preserve">Prepared by EbusinessPal Sdn. Bhd. — Cyberjaya, Malaysia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after="0" w:before="120"/>
    </w:pPr>
    <w:r>
      <w:rPr>
        <w:rFonts w:ascii="Arial" w:cs="Arial" w:eastAsia="Arial" w:hAnsi="Arial"/>
        <w:color w:val="888888"/>
        <w:sz w:val="16"/>
        <w:szCs w:val="16"/>
      </w:rPr>
      <w:t xml:space="preserve">Confidential — For Client Review Only</w:t>
    </w:r>
    <w:r>
      <w:rPr>
        <w:rFonts w:ascii="Arial" w:cs="Arial" w:eastAsia="Arial" w:hAnsi="Arial"/>
        <w:color w:val="888888"/>
        <w:sz w:val="16"/>
        <w:szCs w:val="16"/>
      </w:rPr>
      <w:t xml:space="preserve">	Page </w:t>
    </w:r>
    <w:r>
      <w:rPr>
        <w:rFonts w:ascii="Arial" w:cs="Arial" w:eastAsia="Arial" w:hAnsi="Arial"/>
        <w:color w:val="888888"/>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b/>
        <w:bCs/>
        <w:color w:val="1F4E79"/>
        <w:sz w:val="20"/>
        <w:szCs w:val="20"/>
      </w:rPr>
      <w:t xml:space="preserve">Dental AI Detection — Solution Recommendation</w:t>
    </w:r>
    <w:r>
      <w:rPr>
        <w:rFonts w:ascii="Arial" w:cs="Arial" w:eastAsia="Arial" w:hAnsi="Arial"/>
        <w:color w:val="888888"/>
        <w:sz w:val="18"/>
        <w:szCs w:val="18"/>
      </w:rPr>
      <w:t xml:space="preserve">  |  EbusinessPal Sdn. Bhd.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2026-06-11T06:23:20.439Z</dcterms:created>
  <dcterms:modified xsi:type="dcterms:W3CDTF">2026-06-11T06:23:20.440Z</dcterms:modified>
</cp:coreProperties>
</file>

<file path=docProps/custom.xml><?xml version="1.0" encoding="utf-8"?>
<Properties xmlns="http://schemas.openxmlformats.org/officeDocument/2006/custom-properties" xmlns:vt="http://schemas.openxmlformats.org/officeDocument/2006/docPropsVTypes"/>
</file>