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B4F8A"/>
          <w:sz w:val="52"/>
          <w:szCs w:val="52"/>
        </w:rPr>
        <w:t xml:space="preserve">PROJECT COST BREAKDOWN</w:t>
      </w:r>
    </w:p>
    <w:p>
      <w:pPr>
        <w:spacing w:after="80" w:before="0"/>
      </w:pPr>
      <w:r>
        <w:rPr>
          <w:rFonts w:ascii="Arial" w:cs="Arial" w:eastAsia="Arial" w:hAnsi="Arial"/>
          <w:color w:val="2E75B6"/>
          <w:sz w:val="28"/>
          <w:szCs w:val="28"/>
        </w:rPr>
        <w:t xml:space="preserve">Dental AI Detection System — OPG Analysis &amp; Implant Assessment</w:t>
      </w:r>
    </w:p>
    <w:p>
      <w:pPr>
        <w:pBdr>
          <w:bottom w:val="single" w:color="CCCCCC" w:sz="2"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120"/>
            </w:tcMar>
          </w:tcPr>
          <w:p>
            <w:r>
              <w:rPr>
                <w:rFonts w:ascii="Arial" w:cs="Arial" w:eastAsia="Arial" w:hAnsi="Arial"/>
                <w:b/>
                <w:bCs/>
                <w:color w:val="555555"/>
                <w:sz w:val="19"/>
                <w:szCs w:val="19"/>
              </w:rPr>
              <w:t xml:space="preserve">Prepared by:</w:t>
            </w:r>
          </w:p>
          <w:p>
            <w:r>
              <w:rPr>
                <w:rFonts w:ascii="Arial" w:cs="Arial" w:eastAsia="Arial" w:hAnsi="Arial"/>
                <w:b/>
                <w:bCs/>
                <w:color w:val="1A1A2E"/>
                <w:sz w:val="20"/>
                <w:szCs w:val="20"/>
              </w:rPr>
              <w:t xml:space="preserve">EbusinessPal Sdn. Bhd.</w:t>
            </w:r>
          </w:p>
          <w:p>
            <w:r>
              <w:rPr>
                <w:rFonts w:ascii="Arial" w:cs="Arial" w:eastAsia="Arial" w:hAnsi="Arial"/>
                <w:color w:val="555555"/>
                <w:sz w:val="19"/>
                <w:szCs w:val="19"/>
              </w:rPr>
              <w:t xml:space="preserve">ML &amp; Software Development</w:t>
            </w:r>
          </w:p>
        </w:tc>
        <w:tc>
          <w:tcPr>
            <w:tcW w:type="dxa" w:w="4680"/>
            <w:tcBorders>
              <w:top w:val="none" w:color="FFFFFF" w:sz="0"/>
              <w:left w:val="none" w:color="FFFFFF" w:sz="0"/>
              <w:bottom w:val="none" w:color="FFFFFF" w:sz="0"/>
              <w:right w:val="none" w:color="FFFFFF" w:sz="0"/>
            </w:tcBorders>
            <w:tcMar>
              <w:top w:type="dxa" w:w="0"/>
              <w:left w:type="dxa" w:w="120"/>
              <w:bottom w:type="dxa" w:w="0"/>
              <w:right w:type="dxa" w:w="0"/>
            </w:tcMar>
          </w:tcPr>
          <w:p>
            <w:pPr>
              <w:jc w:val="right"/>
            </w:pPr>
            <w:r>
              <w:rPr>
                <w:rFonts w:ascii="Arial" w:cs="Arial" w:eastAsia="Arial" w:hAnsi="Arial"/>
                <w:b/>
                <w:bCs/>
                <w:color w:val="555555"/>
                <w:sz w:val="19"/>
                <w:szCs w:val="19"/>
              </w:rPr>
              <w:t xml:space="preserve">Prepared for:</w:t>
            </w:r>
          </w:p>
          <w:p>
            <w:pPr>
              <w:jc w:val="right"/>
            </w:pPr>
            <w:r>
              <w:rPr>
                <w:rFonts w:ascii="Arial" w:cs="Arial" w:eastAsia="Arial" w:hAnsi="Arial"/>
                <w:b/>
                <w:bCs/>
                <w:color w:val="1A1A2E"/>
                <w:sz w:val="20"/>
                <w:szCs w:val="20"/>
              </w:rPr>
              <w:t xml:space="preserve">Clavis Labs / Ghaith Hafez</w:t>
            </w:r>
          </w:p>
          <w:p>
            <w:pPr>
              <w:jc w:val="right"/>
            </w:pPr>
            <w:r>
              <w:rPr>
                <w:rFonts w:ascii="Arial" w:cs="Arial" w:eastAsia="Arial" w:hAnsi="Arial"/>
                <w:color w:val="555555"/>
                <w:sz w:val="19"/>
                <w:szCs w:val="19"/>
              </w:rPr>
              <w:t xml:space="preserve">Date: 23 June 2026</w:t>
            </w:r>
          </w:p>
        </w:tc>
      </w:tr>
    </w:tbl>
    <w:p>
      <w:pPr>
        <w:spacing w:after="0" w:before="360"/>
      </w:pPr>
    </w:p>
    <w:p>
      <w:pPr>
        <w:pStyle w:val="Heading2"/>
        <w:pBdr>
          <w:bottom w:val="single" w:color="2E75B6" w:sz="4" w:space="4"/>
        </w:pBdr>
        <w:spacing w:after="120" w:before="280"/>
      </w:pPr>
      <w:r>
        <w:rPr>
          <w:rFonts w:ascii="Arial" w:cs="Arial" w:eastAsia="Arial" w:hAnsi="Arial"/>
          <w:b/>
          <w:bCs/>
          <w:color w:val="2E75B6"/>
          <w:sz w:val="26"/>
          <w:szCs w:val="26"/>
        </w:rPr>
        <w:t xml:space="preserve">Executive Summary</w:t>
      </w:r>
    </w:p>
    <w:p>
      <w:pPr>
        <w:spacing w:after="80" w:before="80"/>
        <w:jc w:val="left"/>
      </w:pPr>
      <w:r>
        <w:rPr>
          <w:rFonts w:ascii="Arial" w:cs="Arial" w:eastAsia="Arial" w:hAnsi="Arial"/>
          <w:b w:val="false"/>
          <w:bCs w:val="false"/>
          <w:i w:val="false"/>
          <w:iCs w:val="false"/>
          <w:color w:val="555555"/>
          <w:sz w:val="20"/>
          <w:szCs w:val="20"/>
        </w:rPr>
        <w:t xml:space="preserve">This document outlines the full cost breakdown for the Dental AI Detection System — a three-stage machine learning pipeline that analyses panoramic dental X-rays (OPGs) and generates preliminary implant treatment plans for call center staff. Pricing reflects the technical complexity of the work, market rates for medical AI development, and the full scope of deliverables as defined in the Detection Specification Brief.</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E8F4FD" w:val="clear"/>
            <w:tcMar>
              <w:top w:type="dxa" w:w="100"/>
              <w:left w:type="dxa" w:w="200"/>
              <w:bottom w:type="dxa" w:w="100"/>
              <w:right w:type="dxa" w:w="120"/>
            </w:tcMar>
          </w:tcPr>
          <w:p>
            <w:r>
              <w:rPr>
                <w:rFonts w:ascii="Arial" w:cs="Arial" w:eastAsia="Arial" w:hAnsi="Arial"/>
                <w:i/>
                <w:iCs/>
                <w:color w:val="1A1A2E"/>
                <w:sz w:val="19"/>
                <w:szCs w:val="19"/>
              </w:rPr>
              <w:t xml:space="preserve">All rates are in USD. For NGN or MYR conversion, apply the agreed exchange rate at contract signing. Final invoice will be in the agreed currency.</w:t>
            </w:r>
          </w:p>
        </w:tc>
      </w:tr>
    </w:tbl>
    <w:p>
      <w:pPr>
        <w:spacing w:after="0" w:before="240"/>
      </w:pPr>
    </w:p>
    <w:p>
      <w:pPr>
        <w:pStyle w:val="Heading2"/>
        <w:pBdr>
          <w:bottom w:val="single" w:color="2E75B6" w:sz="4" w:space="4"/>
        </w:pBdr>
        <w:spacing w:after="120" w:before="280"/>
      </w:pPr>
      <w:r>
        <w:rPr>
          <w:rFonts w:ascii="Arial" w:cs="Arial" w:eastAsia="Arial" w:hAnsi="Arial"/>
          <w:b/>
          <w:bCs/>
          <w:color w:val="2E75B6"/>
          <w:sz w:val="26"/>
          <w:szCs w:val="26"/>
        </w:rPr>
        <w:t xml:space="preserve">What Is Included</w:t>
      </w:r>
    </w:p>
    <w:p>
      <w:pPr>
        <w:pStyle w:val="ListParagraph"/>
        <w:numPr>
          <w:ilvl w:val="0"/>
          <w:numId w:val="2"/>
        </w:numPr>
        <w:spacing w:after="60" w:before="60"/>
      </w:pPr>
      <w:r>
        <w:rPr>
          <w:rFonts w:ascii="Arial" w:cs="Arial" w:eastAsia="Arial" w:hAnsi="Arial"/>
          <w:color w:val="555555"/>
          <w:sz w:val="20"/>
          <w:szCs w:val="20"/>
        </w:rPr>
        <w:t xml:space="preserve">Full ML pipeline: Stage 1 (tooth detection), Stage 2A (pathology classification), Stage 2B (landmark regression)</w:t>
      </w:r>
    </w:p>
    <w:p>
      <w:pPr>
        <w:pStyle w:val="ListParagraph"/>
        <w:numPr>
          <w:ilvl w:val="0"/>
          <w:numId w:val="2"/>
        </w:numPr>
        <w:spacing w:after="60" w:before="60"/>
      </w:pPr>
      <w:r>
        <w:rPr>
          <w:rFonts w:ascii="Arial" w:cs="Arial" w:eastAsia="Arial" w:hAnsi="Arial"/>
          <w:color w:val="555555"/>
          <w:sz w:val="20"/>
          <w:szCs w:val="20"/>
        </w:rPr>
        <w:t xml:space="preserve">DENTEX dataset preprocessing, CLAHE enhancement, COCO → YOLO conversion</w:t>
      </w:r>
    </w:p>
    <w:p>
      <w:pPr>
        <w:pStyle w:val="ListParagraph"/>
        <w:numPr>
          <w:ilvl w:val="0"/>
          <w:numId w:val="2"/>
        </w:numPr>
        <w:spacing w:after="60" w:before="60"/>
      </w:pPr>
      <w:r>
        <w:rPr>
          <w:rFonts w:ascii="Arial" w:cs="Arial" w:eastAsia="Arial" w:hAnsi="Arial"/>
          <w:color w:val="555555"/>
          <w:sz w:val="20"/>
          <w:szCs w:val="20"/>
        </w:rPr>
        <w:t xml:space="preserve">Auto-resume training system — safe against PC shutdowns and interruptions</w:t>
      </w:r>
    </w:p>
    <w:p>
      <w:pPr>
        <w:pStyle w:val="ListParagraph"/>
        <w:numPr>
          <w:ilvl w:val="0"/>
          <w:numId w:val="2"/>
        </w:numPr>
        <w:spacing w:after="60" w:before="60"/>
      </w:pPr>
      <w:r>
        <w:rPr>
          <w:rFonts w:ascii="Arial" w:cs="Arial" w:eastAsia="Arial" w:hAnsi="Arial"/>
          <w:color w:val="555555"/>
          <w:sz w:val="20"/>
          <w:szCs w:val="20"/>
        </w:rPr>
        <w:t xml:space="preserve">Clinical rules engine: sinus lift and nerve proximity assessment with hardcoded thresholds</w:t>
      </w:r>
    </w:p>
    <w:p>
      <w:pPr>
        <w:pStyle w:val="ListParagraph"/>
        <w:numPr>
          <w:ilvl w:val="0"/>
          <w:numId w:val="2"/>
        </w:numPr>
        <w:spacing w:after="60" w:before="60"/>
      </w:pPr>
      <w:r>
        <w:rPr>
          <w:rFonts w:ascii="Arial" w:cs="Arial" w:eastAsia="Arial" w:hAnsi="Arial"/>
          <w:color w:val="555555"/>
          <w:sz w:val="20"/>
          <w:szCs w:val="20"/>
        </w:rPr>
        <w:t xml:space="preserve">End-to-end inference pipeline: OPG image → structured JSON report</w:t>
      </w:r>
    </w:p>
    <w:p>
      <w:pPr>
        <w:pStyle w:val="ListParagraph"/>
        <w:numPr>
          <w:ilvl w:val="0"/>
          <w:numId w:val="2"/>
        </w:numPr>
        <w:spacing w:after="60" w:before="60"/>
      </w:pPr>
      <w:r>
        <w:rPr>
          <w:rFonts w:ascii="Arial" w:cs="Arial" w:eastAsia="Arial" w:hAnsi="Arial"/>
          <w:color w:val="555555"/>
          <w:sz w:val="20"/>
          <w:szCs w:val="20"/>
        </w:rPr>
        <w:t xml:space="preserve">Call center UI: interactive FDI tooth chart with color-coded severity flags</w:t>
      </w:r>
    </w:p>
    <w:p>
      <w:pPr>
        <w:pStyle w:val="ListParagraph"/>
        <w:numPr>
          <w:ilvl w:val="0"/>
          <w:numId w:val="2"/>
        </w:numPr>
        <w:spacing w:after="60" w:before="60"/>
      </w:pPr>
      <w:r>
        <w:rPr>
          <w:rFonts w:ascii="Arial" w:cs="Arial" w:eastAsia="Arial" w:hAnsi="Arial"/>
          <w:color w:val="555555"/>
          <w:sz w:val="20"/>
          <w:szCs w:val="20"/>
        </w:rPr>
        <w:t xml:space="preserve">Technical documentation, deployment packaging, and client handover session</w:t>
      </w:r>
    </w:p>
    <w:p>
      <w:pPr>
        <w:spacing w:after="120" w:before="120"/>
      </w:pPr>
    </w:p>
    <w:p>
      <w:pPr>
        <w:pStyle w:val="Heading2"/>
        <w:pBdr>
          <w:bottom w:val="single" w:color="2E75B6" w:sz="4" w:space="4"/>
        </w:pBdr>
        <w:spacing w:after="120" w:before="280"/>
      </w:pPr>
      <w:r>
        <w:rPr>
          <w:rFonts w:ascii="Arial" w:cs="Arial" w:eastAsia="Arial" w:hAnsi="Arial"/>
          <w:b/>
          <w:bCs/>
          <w:color w:val="2E75B6"/>
          <w:sz w:val="26"/>
          <w:szCs w:val="26"/>
        </w:rPr>
        <w:t xml:space="preserve">What Is Not Included (Separate Scope)</w:t>
      </w:r>
    </w:p>
    <w:p>
      <w:pPr>
        <w:pStyle w:val="ListParagraph"/>
        <w:numPr>
          <w:ilvl w:val="0"/>
          <w:numId w:val="2"/>
        </w:numPr>
        <w:spacing w:after="60" w:before="60"/>
      </w:pPr>
      <w:r>
        <w:rPr>
          <w:rFonts w:ascii="Arial" w:cs="Arial" w:eastAsia="Arial" w:hAnsi="Arial"/>
          <w:color w:val="555555"/>
          <w:sz w:val="20"/>
          <w:szCs w:val="20"/>
        </w:rPr>
        <w:t xml:space="preserve">Landmark annotation of sinus floor and nerve canal (requires client-provided annotated OPGs — min. 200 images)</w:t>
      </w:r>
    </w:p>
    <w:p>
      <w:pPr>
        <w:pStyle w:val="ListParagraph"/>
        <w:numPr>
          <w:ilvl w:val="0"/>
          <w:numId w:val="2"/>
        </w:numPr>
        <w:spacing w:after="60" w:before="60"/>
      </w:pPr>
      <w:r>
        <w:rPr>
          <w:rFonts w:ascii="Arial" w:cs="Arial" w:eastAsia="Arial" w:hAnsi="Arial"/>
          <w:color w:val="555555"/>
          <w:sz w:val="20"/>
          <w:szCs w:val="20"/>
        </w:rPr>
        <w:t xml:space="preserve">CBCT integration (3D bone volume analysis — requires separate scoping)</w:t>
      </w:r>
    </w:p>
    <w:p>
      <w:pPr>
        <w:pStyle w:val="ListParagraph"/>
        <w:numPr>
          <w:ilvl w:val="0"/>
          <w:numId w:val="2"/>
        </w:numPr>
        <w:spacing w:after="60" w:before="60"/>
      </w:pPr>
      <w:r>
        <w:rPr>
          <w:rFonts w:ascii="Arial" w:cs="Arial" w:eastAsia="Arial" w:hAnsi="Arial"/>
          <w:color w:val="555555"/>
          <w:sz w:val="20"/>
          <w:szCs w:val="20"/>
        </w:rPr>
        <w:t xml:space="preserve">Clinical validation by a licensed dental radiologist</w:t>
      </w:r>
    </w:p>
    <w:p>
      <w:pPr>
        <w:pStyle w:val="ListParagraph"/>
        <w:numPr>
          <w:ilvl w:val="0"/>
          <w:numId w:val="2"/>
        </w:numPr>
        <w:spacing w:after="60" w:before="60"/>
      </w:pPr>
      <w:r>
        <w:rPr>
          <w:rFonts w:ascii="Arial" w:cs="Arial" w:eastAsia="Arial" w:hAnsi="Arial"/>
          <w:color w:val="555555"/>
          <w:sz w:val="20"/>
          <w:szCs w:val="20"/>
        </w:rPr>
        <w:t xml:space="preserve">Cloud compute costs (billed at cost if training is moved to cloud)</w:t>
      </w:r>
    </w:p>
    <w:p>
      <w:pPr>
        <w:pStyle w:val="ListParagraph"/>
        <w:numPr>
          <w:ilvl w:val="0"/>
          <w:numId w:val="2"/>
        </w:numPr>
        <w:spacing w:after="60" w:before="60"/>
      </w:pPr>
      <w:r>
        <w:rPr>
          <w:rFonts w:ascii="Arial" w:cs="Arial" w:eastAsia="Arial" w:hAnsi="Arial"/>
          <w:color w:val="555555"/>
          <w:sz w:val="20"/>
          <w:szCs w:val="20"/>
        </w:rPr>
        <w:t xml:space="preserve">Ongoing model retraining after delivery</w:t>
      </w:r>
    </w:p>
    <w:p>
      <w:pPr>
        <w:spacing w:after="0" w:before="360"/>
      </w:pPr>
    </w:p>
    <w:p>
      <w:r>
        <w:br w:type="page"/>
      </w:r>
    </w:p>
    <w:p>
      <w:pPr>
        <w:pStyle w:val="Heading2"/>
        <w:pBdr>
          <w:bottom w:val="single" w:color="2E75B6" w:sz="4" w:space="4"/>
        </w:pBdr>
        <w:spacing w:after="120" w:before="280"/>
      </w:pPr>
      <w:r>
        <w:rPr>
          <w:rFonts w:ascii="Arial" w:cs="Arial" w:eastAsia="Arial" w:hAnsi="Arial"/>
          <w:b/>
          <w:bCs/>
          <w:color w:val="2E75B6"/>
          <w:sz w:val="26"/>
          <w:szCs w:val="26"/>
        </w:rPr>
        <w:t xml:space="preserve">Detailed Cost Breakdown</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440"/>
        <w:gridCol w:w="1680"/>
        <w:gridCol w:w="1560"/>
      </w:tblGrid>
      <w:tr>
        <w:tc>
          <w:tcPr>
            <w:tcW w:type="dxa" w:w="9360"/>
            <w:gridSpan w:val="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Phase 1 — Data Engineering &amp; Preprocessing</w:t>
            </w:r>
          </w:p>
        </w:tc>
      </w:tr>
      <w:tr>
        <w:tc>
          <w:tcPr>
            <w:tcW w:type="dxa" w:w="468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Deliverable</w:t>
            </w:r>
          </w:p>
        </w:tc>
        <w:tc>
          <w:tcPr>
            <w:tcW w:type="dxa" w:w="144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Hours</w:t>
            </w:r>
          </w:p>
        </w:tc>
        <w:tc>
          <w:tcPr>
            <w:tcW w:type="dxa" w:w="168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Rate (USD/hr)</w:t>
            </w:r>
          </w:p>
        </w:tc>
        <w:tc>
          <w:tcPr>
            <w:tcW w:type="dxa" w:w="15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Amount (USD)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Dataset audit &amp; structure validation</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4 hrs</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$55</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$220</w:t>
            </w:r>
          </w:p>
        </w:tc>
      </w:tr>
      <w:tr>
        <w:tc>
          <w:tcPr>
            <w:tcW w:type="dxa" w:w="468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DICOM/PNG pipeline + CLAHE preprocessing</w:t>
            </w:r>
          </w:p>
        </w:tc>
        <w:tc>
          <w:tcPr>
            <w:tcW w:type="dxa" w:w="144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6 hrs</w:t>
            </w:r>
          </w:p>
        </w:tc>
        <w:tc>
          <w:tcPr>
            <w:tcW w:type="dxa" w:w="168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$55</w:t>
            </w:r>
          </w:p>
        </w:tc>
        <w:tc>
          <w:tcPr>
            <w:tcW w:type="dxa" w:w="156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$330</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COCO → YOLO label conversion</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5 hrs</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$55</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$275</w:t>
            </w:r>
          </w:p>
        </w:tc>
      </w:tr>
      <w:tr>
        <w:tc>
          <w:tcPr>
            <w:tcW w:type="dxa" w:w="468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Train/val/test split + dataset YAML</w:t>
            </w:r>
          </w:p>
        </w:tc>
        <w:tc>
          <w:tcPr>
            <w:tcW w:type="dxa" w:w="144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3 hrs</w:t>
            </w:r>
          </w:p>
        </w:tc>
        <w:tc>
          <w:tcPr>
            <w:tcW w:type="dxa" w:w="168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$55</w:t>
            </w:r>
          </w:p>
        </w:tc>
        <w:tc>
          <w:tcPr>
            <w:tcW w:type="dxa" w:w="156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$165</w:t>
            </w:r>
          </w:p>
        </w:tc>
      </w:tr>
      <w:tr>
        <w:tc>
          <w:tcPr>
            <w:tcW w:type="dxa" w:w="7800"/>
            <w:gridSpan w:val="3"/>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right"/>
            </w:pPr>
            <w:r>
              <w:rPr>
                <w:rFonts w:ascii="Arial" w:cs="Arial" w:eastAsia="Arial" w:hAnsi="Arial"/>
                <w:b/>
                <w:bCs/>
                <w:color w:val="1B4F8A"/>
                <w:sz w:val="20"/>
                <w:szCs w:val="20"/>
              </w:rPr>
              <w:t xml:space="preserve">Phase Subtotal</w:t>
            </w:r>
          </w:p>
        </w:tc>
        <w:tc>
          <w:tcPr>
            <w:tcW w:type="dxa" w:w="1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jc w:val="right"/>
            </w:pPr>
            <w:r>
              <w:rPr>
                <w:rFonts w:ascii="Arial" w:cs="Arial" w:eastAsia="Arial" w:hAnsi="Arial"/>
                <w:b/>
                <w:bCs/>
                <w:i w:val="false"/>
                <w:iCs w:val="false"/>
                <w:color w:val="1B4F8A"/>
                <w:sz w:val="20"/>
                <w:szCs w:val="20"/>
              </w:rPr>
              <w:t xml:space="preserve">$990</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440"/>
        <w:gridCol w:w="1680"/>
        <w:gridCol w:w="1560"/>
      </w:tblGrid>
      <w:tr>
        <w:tc>
          <w:tcPr>
            <w:tcW w:type="dxa" w:w="9360"/>
            <w:gridSpan w:val="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Phase 2 — Stage 1: Tooth Detection (YOLOv8-seg)</w:t>
            </w:r>
          </w:p>
        </w:tc>
      </w:tr>
      <w:tr>
        <w:tc>
          <w:tcPr>
            <w:tcW w:type="dxa" w:w="468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Deliverable</w:t>
            </w:r>
          </w:p>
        </w:tc>
        <w:tc>
          <w:tcPr>
            <w:tcW w:type="dxa" w:w="144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Hours</w:t>
            </w:r>
          </w:p>
        </w:tc>
        <w:tc>
          <w:tcPr>
            <w:tcW w:type="dxa" w:w="168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Rate (USD/hr)</w:t>
            </w:r>
          </w:p>
        </w:tc>
        <w:tc>
          <w:tcPr>
            <w:tcW w:type="dxa" w:w="15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Amount (USD)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YOLOv8-seg architecture setup &amp; config</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5 hrs</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$65</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$325</w:t>
            </w:r>
          </w:p>
        </w:tc>
      </w:tr>
      <w:tr>
        <w:tc>
          <w:tcPr>
            <w:tcW w:type="dxa" w:w="468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FDI 32-class segmentation training</w:t>
            </w:r>
          </w:p>
        </w:tc>
        <w:tc>
          <w:tcPr>
            <w:tcW w:type="dxa" w:w="144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12 hrs</w:t>
            </w:r>
          </w:p>
        </w:tc>
        <w:tc>
          <w:tcPr>
            <w:tcW w:type="dxa" w:w="168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$65</w:t>
            </w:r>
          </w:p>
        </w:tc>
        <w:tc>
          <w:tcPr>
            <w:tcW w:type="dxa" w:w="156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$780</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Missing tooth gap detection logic</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4 hrs</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$65</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$260</w:t>
            </w:r>
          </w:p>
        </w:tc>
      </w:tr>
      <w:tr>
        <w:tc>
          <w:tcPr>
            <w:tcW w:type="dxa" w:w="468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Model evaluation (mAP@0.5, mAP@0.5-0.95)</w:t>
            </w:r>
          </w:p>
        </w:tc>
        <w:tc>
          <w:tcPr>
            <w:tcW w:type="dxa" w:w="144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4 hrs</w:t>
            </w:r>
          </w:p>
        </w:tc>
        <w:tc>
          <w:tcPr>
            <w:tcW w:type="dxa" w:w="168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$65</w:t>
            </w:r>
          </w:p>
        </w:tc>
        <w:tc>
          <w:tcPr>
            <w:tcW w:type="dxa" w:w="156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$260</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Checkpoint + auto-resume system</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3 hrs</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$65</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$195</w:t>
            </w:r>
          </w:p>
        </w:tc>
      </w:tr>
      <w:tr>
        <w:tc>
          <w:tcPr>
            <w:tcW w:type="dxa" w:w="7800"/>
            <w:gridSpan w:val="3"/>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right"/>
            </w:pPr>
            <w:r>
              <w:rPr>
                <w:rFonts w:ascii="Arial" w:cs="Arial" w:eastAsia="Arial" w:hAnsi="Arial"/>
                <w:b/>
                <w:bCs/>
                <w:color w:val="1B4F8A"/>
                <w:sz w:val="20"/>
                <w:szCs w:val="20"/>
              </w:rPr>
              <w:t xml:space="preserve">Phase Subtotal</w:t>
            </w:r>
          </w:p>
        </w:tc>
        <w:tc>
          <w:tcPr>
            <w:tcW w:type="dxa" w:w="1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jc w:val="right"/>
            </w:pPr>
            <w:r>
              <w:rPr>
                <w:rFonts w:ascii="Arial" w:cs="Arial" w:eastAsia="Arial" w:hAnsi="Arial"/>
                <w:b/>
                <w:bCs/>
                <w:i w:val="false"/>
                <w:iCs w:val="false"/>
                <w:color w:val="1B4F8A"/>
                <w:sz w:val="20"/>
                <w:szCs w:val="20"/>
              </w:rPr>
              <w:t xml:space="preserve">$1,820</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440"/>
        <w:gridCol w:w="1680"/>
        <w:gridCol w:w="1560"/>
      </w:tblGrid>
      <w:tr>
        <w:tc>
          <w:tcPr>
            <w:tcW w:type="dxa" w:w="9360"/>
            <w:gridSpan w:val="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Phase 3 — Stage 2A: Pathology Classifier (EfficientNet-B3)</w:t>
            </w:r>
          </w:p>
        </w:tc>
      </w:tr>
      <w:tr>
        <w:tc>
          <w:tcPr>
            <w:tcW w:type="dxa" w:w="468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Deliverable</w:t>
            </w:r>
          </w:p>
        </w:tc>
        <w:tc>
          <w:tcPr>
            <w:tcW w:type="dxa" w:w="144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Hours</w:t>
            </w:r>
          </w:p>
        </w:tc>
        <w:tc>
          <w:tcPr>
            <w:tcW w:type="dxa" w:w="168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Rate (USD/hr)</w:t>
            </w:r>
          </w:p>
        </w:tc>
        <w:tc>
          <w:tcPr>
            <w:tcW w:type="dxa" w:w="15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Amount (USD)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EfficientNet-B3 model + custom head</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5 hrs</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$65</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$325</w:t>
            </w:r>
          </w:p>
        </w:tc>
      </w:tr>
      <w:tr>
        <w:tc>
          <w:tcPr>
            <w:tcW w:type="dxa" w:w="468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Per-tooth crop extraction pipeline</w:t>
            </w:r>
          </w:p>
        </w:tc>
        <w:tc>
          <w:tcPr>
            <w:tcW w:type="dxa" w:w="144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4 hrs</w:t>
            </w:r>
          </w:p>
        </w:tc>
        <w:tc>
          <w:tcPr>
            <w:tcW w:type="dxa" w:w="168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$65</w:t>
            </w:r>
          </w:p>
        </w:tc>
        <w:tc>
          <w:tcPr>
            <w:tcW w:type="dxa" w:w="156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$260</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Multi-class training: caries, periapical, crown, RCT</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10 hrs</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$65</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$650</w:t>
            </w:r>
          </w:p>
        </w:tc>
      </w:tr>
      <w:tr>
        <w:tc>
          <w:tcPr>
            <w:tcW w:type="dxa" w:w="468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Class imbalance handling + weighted loss</w:t>
            </w:r>
          </w:p>
        </w:tc>
        <w:tc>
          <w:tcPr>
            <w:tcW w:type="dxa" w:w="144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3 hrs</w:t>
            </w:r>
          </w:p>
        </w:tc>
        <w:tc>
          <w:tcPr>
            <w:tcW w:type="dxa" w:w="168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$65</w:t>
            </w:r>
          </w:p>
        </w:tc>
        <w:tc>
          <w:tcPr>
            <w:tcW w:type="dxa" w:w="156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$195</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AUC-ROC evaluation per disease class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3 hrs</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$65</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$195</w:t>
            </w:r>
          </w:p>
        </w:tc>
      </w:tr>
      <w:tr>
        <w:tc>
          <w:tcPr>
            <w:tcW w:type="dxa" w:w="7800"/>
            <w:gridSpan w:val="3"/>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right"/>
            </w:pPr>
            <w:r>
              <w:rPr>
                <w:rFonts w:ascii="Arial" w:cs="Arial" w:eastAsia="Arial" w:hAnsi="Arial"/>
                <w:b/>
                <w:bCs/>
                <w:color w:val="1B4F8A"/>
                <w:sz w:val="20"/>
                <w:szCs w:val="20"/>
              </w:rPr>
              <w:t xml:space="preserve">Phase Subtotal</w:t>
            </w:r>
          </w:p>
        </w:tc>
        <w:tc>
          <w:tcPr>
            <w:tcW w:type="dxa" w:w="1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jc w:val="right"/>
            </w:pPr>
            <w:r>
              <w:rPr>
                <w:rFonts w:ascii="Arial" w:cs="Arial" w:eastAsia="Arial" w:hAnsi="Arial"/>
                <w:b/>
                <w:bCs/>
                <w:i w:val="false"/>
                <w:iCs w:val="false"/>
                <w:color w:val="1B4F8A"/>
                <w:sz w:val="20"/>
                <w:szCs w:val="20"/>
              </w:rPr>
              <w:t xml:space="preserve">$1,625</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440"/>
        <w:gridCol w:w="1680"/>
        <w:gridCol w:w="1560"/>
      </w:tblGrid>
      <w:tr>
        <w:tc>
          <w:tcPr>
            <w:tcW w:type="dxa" w:w="9360"/>
            <w:gridSpan w:val="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Phase 4 — Stage 2B: Landmark Regression (U-Net)</w:t>
            </w:r>
          </w:p>
        </w:tc>
      </w:tr>
      <w:tr>
        <w:tc>
          <w:tcPr>
            <w:tcW w:type="dxa" w:w="468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Deliverable</w:t>
            </w:r>
          </w:p>
        </w:tc>
        <w:tc>
          <w:tcPr>
            <w:tcW w:type="dxa" w:w="144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Hours</w:t>
            </w:r>
          </w:p>
        </w:tc>
        <w:tc>
          <w:tcPr>
            <w:tcW w:type="dxa" w:w="168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Rate (USD/hr)</w:t>
            </w:r>
          </w:p>
        </w:tc>
        <w:tc>
          <w:tcPr>
            <w:tcW w:type="dxa" w:w="15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Amount (USD)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U-Net architecture + regression head</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8 hrs</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$70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$560</w:t>
            </w:r>
          </w:p>
        </w:tc>
      </w:tr>
      <w:tr>
        <w:tc>
          <w:tcPr>
            <w:tcW w:type="dxa" w:w="468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Gaussian heatmap generation pipeline</w:t>
            </w:r>
          </w:p>
        </w:tc>
        <w:tc>
          <w:tcPr>
            <w:tcW w:type="dxa" w:w="144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4 hrs</w:t>
            </w:r>
          </w:p>
        </w:tc>
        <w:tc>
          <w:tcPr>
            <w:tcW w:type="dxa" w:w="168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$70</w:t>
            </w:r>
          </w:p>
        </w:tc>
        <w:tc>
          <w:tcPr>
            <w:tcW w:type="dxa" w:w="156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$280</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Sinus floor + nerve canal training</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10 hrs</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$70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$700</w:t>
            </w:r>
          </w:p>
        </w:tc>
      </w:tr>
      <w:tr>
        <w:tc>
          <w:tcPr>
            <w:tcW w:type="dxa" w:w="468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MRE (mean radial error) evaluation in mm</w:t>
            </w:r>
          </w:p>
        </w:tc>
        <w:tc>
          <w:tcPr>
            <w:tcW w:type="dxa" w:w="144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3 hrs</w:t>
            </w:r>
          </w:p>
        </w:tc>
        <w:tc>
          <w:tcPr>
            <w:tcW w:type="dxa" w:w="168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$70</w:t>
            </w:r>
          </w:p>
        </w:tc>
        <w:tc>
          <w:tcPr>
            <w:tcW w:type="dxa" w:w="156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$210</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Annotation specification for client data</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2 hrs</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$70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$140</w:t>
            </w:r>
          </w:p>
        </w:tc>
      </w:tr>
      <w:tr>
        <w:tc>
          <w:tcPr>
            <w:tcW w:type="dxa" w:w="7800"/>
            <w:gridSpan w:val="3"/>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right"/>
            </w:pPr>
            <w:r>
              <w:rPr>
                <w:rFonts w:ascii="Arial" w:cs="Arial" w:eastAsia="Arial" w:hAnsi="Arial"/>
                <w:b/>
                <w:bCs/>
                <w:color w:val="1B4F8A"/>
                <w:sz w:val="20"/>
                <w:szCs w:val="20"/>
              </w:rPr>
              <w:t xml:space="preserve">Phase Subtotal</w:t>
            </w:r>
          </w:p>
        </w:tc>
        <w:tc>
          <w:tcPr>
            <w:tcW w:type="dxa" w:w="1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jc w:val="right"/>
            </w:pPr>
            <w:r>
              <w:rPr>
                <w:rFonts w:ascii="Arial" w:cs="Arial" w:eastAsia="Arial" w:hAnsi="Arial"/>
                <w:b/>
                <w:bCs/>
                <w:i w:val="false"/>
                <w:iCs w:val="false"/>
                <w:color w:val="1B4F8A"/>
                <w:sz w:val="20"/>
                <w:szCs w:val="20"/>
              </w:rPr>
              <w:t xml:space="preserve">$1,890</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E8F4FD" w:val="clear"/>
            <w:tcMar>
              <w:top w:type="dxa" w:w="100"/>
              <w:left w:type="dxa" w:w="200"/>
              <w:bottom w:type="dxa" w:w="100"/>
              <w:right w:type="dxa" w:w="120"/>
            </w:tcMar>
          </w:tcPr>
          <w:p>
            <w:r>
              <w:rPr>
                <w:rFonts w:ascii="Arial" w:cs="Arial" w:eastAsia="Arial" w:hAnsi="Arial"/>
                <w:i/>
                <w:iCs/>
                <w:color w:val="1A1A2E"/>
                <w:sz w:val="19"/>
                <w:szCs w:val="19"/>
              </w:rPr>
              <w:t xml:space="preserve">Note: Stage 2B billing begins when client delivers annotated landmark data (min. 200 OPGs)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440"/>
        <w:gridCol w:w="1680"/>
        <w:gridCol w:w="1560"/>
      </w:tblGrid>
      <w:tr>
        <w:tc>
          <w:tcPr>
            <w:tcW w:type="dxa" w:w="9360"/>
            <w:gridSpan w:val="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Phase 5 — Clinical Rules Engine</w:t>
            </w:r>
          </w:p>
        </w:tc>
      </w:tr>
      <w:tr>
        <w:tc>
          <w:tcPr>
            <w:tcW w:type="dxa" w:w="468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Deliverable</w:t>
            </w:r>
          </w:p>
        </w:tc>
        <w:tc>
          <w:tcPr>
            <w:tcW w:type="dxa" w:w="144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Hours</w:t>
            </w:r>
          </w:p>
        </w:tc>
        <w:tc>
          <w:tcPr>
            <w:tcW w:type="dxa" w:w="168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Rate (USD/hr)</w:t>
            </w:r>
          </w:p>
        </w:tc>
        <w:tc>
          <w:tcPr>
            <w:tcW w:type="dxa" w:w="15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Amount (USD)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Sinus lift threshold logic (CLEAR / CAUTION / LIFT)</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4 hrs</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$60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$240</w:t>
            </w:r>
          </w:p>
        </w:tc>
      </w:tr>
      <w:tr>
        <w:tc>
          <w:tcPr>
            <w:tcW w:type="dxa" w:w="468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Nerve proximity threshold logic (CLEAR / RISK)</w:t>
            </w:r>
          </w:p>
        </w:tc>
        <w:tc>
          <w:tcPr>
            <w:tcW w:type="dxa" w:w="144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4 hrs</w:t>
            </w:r>
          </w:p>
        </w:tc>
        <w:tc>
          <w:tcPr>
            <w:tcW w:type="dxa" w:w="168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$60</w:t>
            </w:r>
          </w:p>
        </w:tc>
        <w:tc>
          <w:tcPr>
            <w:tcW w:type="dxa" w:w="156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$240</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Implant site report generator (per missing tooth)</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4 hrs</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$60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$240</w:t>
            </w:r>
          </w:p>
        </w:tc>
      </w:tr>
      <w:tr>
        <w:tc>
          <w:tcPr>
            <w:tcW w:type="dxa" w:w="468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Bone height → mm conversion calibration</w:t>
            </w:r>
          </w:p>
        </w:tc>
        <w:tc>
          <w:tcPr>
            <w:tcW w:type="dxa" w:w="144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2 hrs</w:t>
            </w:r>
          </w:p>
        </w:tc>
        <w:tc>
          <w:tcPr>
            <w:tcW w:type="dxa" w:w="168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$60</w:t>
            </w:r>
          </w:p>
        </w:tc>
        <w:tc>
          <w:tcPr>
            <w:tcW w:type="dxa" w:w="156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$120</w:t>
            </w:r>
          </w:p>
        </w:tc>
      </w:tr>
      <w:tr>
        <w:tc>
          <w:tcPr>
            <w:tcW w:type="dxa" w:w="7800"/>
            <w:gridSpan w:val="3"/>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right"/>
            </w:pPr>
            <w:r>
              <w:rPr>
                <w:rFonts w:ascii="Arial" w:cs="Arial" w:eastAsia="Arial" w:hAnsi="Arial"/>
                <w:b/>
                <w:bCs/>
                <w:color w:val="1B4F8A"/>
                <w:sz w:val="20"/>
                <w:szCs w:val="20"/>
              </w:rPr>
              <w:t xml:space="preserve">Phase Subtotal</w:t>
            </w:r>
          </w:p>
        </w:tc>
        <w:tc>
          <w:tcPr>
            <w:tcW w:type="dxa" w:w="1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jc w:val="right"/>
            </w:pPr>
            <w:r>
              <w:rPr>
                <w:rFonts w:ascii="Arial" w:cs="Arial" w:eastAsia="Arial" w:hAnsi="Arial"/>
                <w:b/>
                <w:bCs/>
                <w:i w:val="false"/>
                <w:iCs w:val="false"/>
                <w:color w:val="1B4F8A"/>
                <w:sz w:val="20"/>
                <w:szCs w:val="20"/>
              </w:rPr>
              <w:t xml:space="preserve">$840</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440"/>
        <w:gridCol w:w="1680"/>
        <w:gridCol w:w="1560"/>
      </w:tblGrid>
      <w:tr>
        <w:tc>
          <w:tcPr>
            <w:tcW w:type="dxa" w:w="9360"/>
            <w:gridSpan w:val="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Phase 6 — Inference Pipeline &amp; Integration</w:t>
            </w:r>
          </w:p>
        </w:tc>
      </w:tr>
      <w:tr>
        <w:tc>
          <w:tcPr>
            <w:tcW w:type="dxa" w:w="468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Deliverable</w:t>
            </w:r>
          </w:p>
        </w:tc>
        <w:tc>
          <w:tcPr>
            <w:tcW w:type="dxa" w:w="144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Hours</w:t>
            </w:r>
          </w:p>
        </w:tc>
        <w:tc>
          <w:tcPr>
            <w:tcW w:type="dxa" w:w="168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Rate (USD/hr)</w:t>
            </w:r>
          </w:p>
        </w:tc>
        <w:tc>
          <w:tcPr>
            <w:tcW w:type="dxa" w:w="15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Amount (USD)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End-to-end OPG → JSON report pipeline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6 hrs</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$65</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$390</w:t>
            </w:r>
          </w:p>
        </w:tc>
      </w:tr>
      <w:tr>
        <w:tc>
          <w:tcPr>
            <w:tcW w:type="dxa" w:w="468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Stage 1 → 2A → 2B orchestration</w:t>
            </w:r>
          </w:p>
        </w:tc>
        <w:tc>
          <w:tcPr>
            <w:tcW w:type="dxa" w:w="144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5 hrs</w:t>
            </w:r>
          </w:p>
        </w:tc>
        <w:tc>
          <w:tcPr>
            <w:tcW w:type="dxa" w:w="168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$65</w:t>
            </w:r>
          </w:p>
        </w:tc>
        <w:tc>
          <w:tcPr>
            <w:tcW w:type="dxa" w:w="156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$325</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DICOM + PNG + JPG input handling</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3 hrs</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$65</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$195</w:t>
            </w:r>
          </w:p>
        </w:tc>
      </w:tr>
      <w:tr>
        <w:tc>
          <w:tcPr>
            <w:tcW w:type="dxa" w:w="468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Structured JSON report schema</w:t>
            </w:r>
          </w:p>
        </w:tc>
        <w:tc>
          <w:tcPr>
            <w:tcW w:type="dxa" w:w="144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3 hrs</w:t>
            </w:r>
          </w:p>
        </w:tc>
        <w:tc>
          <w:tcPr>
            <w:tcW w:type="dxa" w:w="168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$65</w:t>
            </w:r>
          </w:p>
        </w:tc>
        <w:tc>
          <w:tcPr>
            <w:tcW w:type="dxa" w:w="156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$195</w:t>
            </w:r>
          </w:p>
        </w:tc>
      </w:tr>
      <w:tr>
        <w:tc>
          <w:tcPr>
            <w:tcW w:type="dxa" w:w="7800"/>
            <w:gridSpan w:val="3"/>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right"/>
            </w:pPr>
            <w:r>
              <w:rPr>
                <w:rFonts w:ascii="Arial" w:cs="Arial" w:eastAsia="Arial" w:hAnsi="Arial"/>
                <w:b/>
                <w:bCs/>
                <w:color w:val="1B4F8A"/>
                <w:sz w:val="20"/>
                <w:szCs w:val="20"/>
              </w:rPr>
              <w:t xml:space="preserve">Phase Subtotal</w:t>
            </w:r>
          </w:p>
        </w:tc>
        <w:tc>
          <w:tcPr>
            <w:tcW w:type="dxa" w:w="1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jc w:val="right"/>
            </w:pPr>
            <w:r>
              <w:rPr>
                <w:rFonts w:ascii="Arial" w:cs="Arial" w:eastAsia="Arial" w:hAnsi="Arial"/>
                <w:b/>
                <w:bCs/>
                <w:i w:val="false"/>
                <w:iCs w:val="false"/>
                <w:color w:val="1B4F8A"/>
                <w:sz w:val="20"/>
                <w:szCs w:val="20"/>
              </w:rPr>
              <w:t xml:space="preserve">$1,105</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440"/>
        <w:gridCol w:w="1680"/>
        <w:gridCol w:w="1560"/>
      </w:tblGrid>
      <w:tr>
        <w:tc>
          <w:tcPr>
            <w:tcW w:type="dxa" w:w="9360"/>
            <w:gridSpan w:val="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Phase 7 — Call Center UI</w:t>
            </w:r>
          </w:p>
        </w:tc>
      </w:tr>
      <w:tr>
        <w:tc>
          <w:tcPr>
            <w:tcW w:type="dxa" w:w="468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Deliverable</w:t>
            </w:r>
          </w:p>
        </w:tc>
        <w:tc>
          <w:tcPr>
            <w:tcW w:type="dxa" w:w="144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Hours</w:t>
            </w:r>
          </w:p>
        </w:tc>
        <w:tc>
          <w:tcPr>
            <w:tcW w:type="dxa" w:w="168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Rate (USD/hr)</w:t>
            </w:r>
          </w:p>
        </w:tc>
        <w:tc>
          <w:tcPr>
            <w:tcW w:type="dxa" w:w="15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Amount (USD)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Interactive FDI tooth chart (color-coded)</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8 hrs</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$70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$560</w:t>
            </w:r>
          </w:p>
        </w:tc>
      </w:tr>
      <w:tr>
        <w:tc>
          <w:tcPr>
            <w:tcW w:type="dxa" w:w="468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CLEAR / CAUTION / RISK flag display</w:t>
            </w:r>
          </w:p>
        </w:tc>
        <w:tc>
          <w:tcPr>
            <w:tcW w:type="dxa" w:w="144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4 hrs</w:t>
            </w:r>
          </w:p>
        </w:tc>
        <w:tc>
          <w:tcPr>
            <w:tcW w:type="dxa" w:w="168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$70</w:t>
            </w:r>
          </w:p>
        </w:tc>
        <w:tc>
          <w:tcPr>
            <w:tcW w:type="dxa" w:w="156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$280</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Per-tooth findings panel</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5 hrs</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$70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$350</w:t>
            </w:r>
          </w:p>
        </w:tc>
      </w:tr>
      <w:tr>
        <w:tc>
          <w:tcPr>
            <w:tcW w:type="dxa" w:w="468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Report export (PDF / print)</w:t>
            </w:r>
          </w:p>
        </w:tc>
        <w:tc>
          <w:tcPr>
            <w:tcW w:type="dxa" w:w="144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3 hrs</w:t>
            </w:r>
          </w:p>
        </w:tc>
        <w:tc>
          <w:tcPr>
            <w:tcW w:type="dxa" w:w="168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$70</w:t>
            </w:r>
          </w:p>
        </w:tc>
        <w:tc>
          <w:tcPr>
            <w:tcW w:type="dxa" w:w="156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$210</w:t>
            </w:r>
          </w:p>
        </w:tc>
      </w:tr>
      <w:tr>
        <w:tc>
          <w:tcPr>
            <w:tcW w:type="dxa" w:w="7800"/>
            <w:gridSpan w:val="3"/>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right"/>
            </w:pPr>
            <w:r>
              <w:rPr>
                <w:rFonts w:ascii="Arial" w:cs="Arial" w:eastAsia="Arial" w:hAnsi="Arial"/>
                <w:b/>
                <w:bCs/>
                <w:color w:val="1B4F8A"/>
                <w:sz w:val="20"/>
                <w:szCs w:val="20"/>
              </w:rPr>
              <w:t xml:space="preserve">Phase Subtotal</w:t>
            </w:r>
          </w:p>
        </w:tc>
        <w:tc>
          <w:tcPr>
            <w:tcW w:type="dxa" w:w="1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jc w:val="right"/>
            </w:pPr>
            <w:r>
              <w:rPr>
                <w:rFonts w:ascii="Arial" w:cs="Arial" w:eastAsia="Arial" w:hAnsi="Arial"/>
                <w:b/>
                <w:bCs/>
                <w:i w:val="false"/>
                <w:iCs w:val="false"/>
                <w:color w:val="1B4F8A"/>
                <w:sz w:val="20"/>
                <w:szCs w:val="20"/>
              </w:rPr>
              <w:t xml:space="preserve">$1,400</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440"/>
        <w:gridCol w:w="1680"/>
        <w:gridCol w:w="1560"/>
      </w:tblGrid>
      <w:tr>
        <w:tc>
          <w:tcPr>
            <w:tcW w:type="dxa" w:w="9360"/>
            <w:gridSpan w:val="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Phase 8 — Project Management &amp; Delivery</w:t>
            </w:r>
          </w:p>
        </w:tc>
      </w:tr>
      <w:tr>
        <w:tc>
          <w:tcPr>
            <w:tcW w:type="dxa" w:w="468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Deliverable</w:t>
            </w:r>
          </w:p>
        </w:tc>
        <w:tc>
          <w:tcPr>
            <w:tcW w:type="dxa" w:w="144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Hours</w:t>
            </w:r>
          </w:p>
        </w:tc>
        <w:tc>
          <w:tcPr>
            <w:tcW w:type="dxa" w:w="168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Rate (USD/hr)</w:t>
            </w:r>
          </w:p>
        </w:tc>
        <w:tc>
          <w:tcPr>
            <w:tcW w:type="dxa" w:w="15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Amount (USD)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Technical documentation &amp; README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4 hrs</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$55</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$220</w:t>
            </w:r>
          </w:p>
        </w:tc>
      </w:tr>
      <w:tr>
        <w:tc>
          <w:tcPr>
            <w:tcW w:type="dxa" w:w="468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Deployment packaging + environment setup</w:t>
            </w:r>
          </w:p>
        </w:tc>
        <w:tc>
          <w:tcPr>
            <w:tcW w:type="dxa" w:w="144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4 hrs</w:t>
            </w:r>
          </w:p>
        </w:tc>
        <w:tc>
          <w:tcPr>
            <w:tcW w:type="dxa" w:w="168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$55</w:t>
            </w:r>
          </w:p>
        </w:tc>
        <w:tc>
          <w:tcPr>
            <w:tcW w:type="dxa" w:w="156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$220</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Client walkthrough &amp; handover session</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3 hrs</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$55</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$165</w:t>
            </w:r>
          </w:p>
        </w:tc>
      </w:tr>
      <w:tr>
        <w:tc>
          <w:tcPr>
            <w:tcW w:type="dxa" w:w="468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Bug fixes &amp; revisions (post-delivery)</w:t>
            </w:r>
          </w:p>
        </w:tc>
        <w:tc>
          <w:tcPr>
            <w:tcW w:type="dxa" w:w="144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5 hrs</w:t>
            </w:r>
          </w:p>
        </w:tc>
        <w:tc>
          <w:tcPr>
            <w:tcW w:type="dxa" w:w="168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$55</w:t>
            </w:r>
          </w:p>
        </w:tc>
        <w:tc>
          <w:tcPr>
            <w:tcW w:type="dxa" w:w="156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$275</w:t>
            </w:r>
          </w:p>
        </w:tc>
      </w:tr>
      <w:tr>
        <w:tc>
          <w:tcPr>
            <w:tcW w:type="dxa" w:w="7800"/>
            <w:gridSpan w:val="3"/>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right"/>
            </w:pPr>
            <w:r>
              <w:rPr>
                <w:rFonts w:ascii="Arial" w:cs="Arial" w:eastAsia="Arial" w:hAnsi="Arial"/>
                <w:b/>
                <w:bCs/>
                <w:color w:val="1B4F8A"/>
                <w:sz w:val="20"/>
                <w:szCs w:val="20"/>
              </w:rPr>
              <w:t xml:space="preserve">Phase Subtotal</w:t>
            </w:r>
          </w:p>
        </w:tc>
        <w:tc>
          <w:tcPr>
            <w:tcW w:type="dxa" w:w="1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jc w:val="right"/>
            </w:pPr>
            <w:r>
              <w:rPr>
                <w:rFonts w:ascii="Arial" w:cs="Arial" w:eastAsia="Arial" w:hAnsi="Arial"/>
                <w:b/>
                <w:bCs/>
                <w:i w:val="false"/>
                <w:iCs w:val="false"/>
                <w:color w:val="1B4F8A"/>
                <w:sz w:val="20"/>
                <w:szCs w:val="20"/>
              </w:rPr>
              <w:t xml:space="preserve">$880</w:t>
            </w:r>
          </w:p>
        </w:tc>
      </w:tr>
    </w:tbl>
    <w:p>
      <w:pPr>
        <w:spacing w:after="120" w:before="0"/>
      </w:pPr>
    </w:p>
    <w:p>
      <w:r>
        <w:br w:type="page"/>
      </w:r>
    </w:p>
    <w:p>
      <w:pPr>
        <w:pStyle w:val="Heading2"/>
        <w:pBdr>
          <w:bottom w:val="single" w:color="2E75B6" w:sz="4" w:space="4"/>
        </w:pBdr>
        <w:spacing w:after="120" w:before="280"/>
      </w:pPr>
      <w:r>
        <w:rPr>
          <w:rFonts w:ascii="Arial" w:cs="Arial" w:eastAsia="Arial" w:hAnsi="Arial"/>
          <w:b/>
          <w:bCs/>
          <w:color w:val="2E75B6"/>
          <w:sz w:val="26"/>
          <w:szCs w:val="26"/>
        </w:rPr>
        <w:t xml:space="preserve">Cost Summary</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c>
          <w:tcPr>
            <w:tcW w:type="dxa" w:w="144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Phase</w:t>
            </w:r>
          </w:p>
        </w:tc>
        <w:tc>
          <w:tcPr>
            <w:tcW w:type="dxa" w:w="57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Subtotal (USD)</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1A1A2E"/>
                <w:sz w:val="20"/>
                <w:szCs w:val="20"/>
              </w:rPr>
              <w:t xml:space="preserve">Phase 1</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Data Engineering &amp; Preprocessing</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$990</w:t>
            </w:r>
          </w:p>
        </w:tc>
      </w:tr>
      <w:tr>
        <w:tc>
          <w:tcPr>
            <w:tcW w:type="dxa" w:w="144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bCs/>
                <w:i w:val="false"/>
                <w:iCs w:val="false"/>
                <w:color w:val="1A1A2E"/>
                <w:sz w:val="20"/>
                <w:szCs w:val="20"/>
              </w:rPr>
              <w:t xml:space="preserve">Phase 2</w:t>
            </w:r>
          </w:p>
        </w:tc>
        <w:tc>
          <w:tcPr>
            <w:tcW w:type="dxa" w:w="576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Stage 1 — Tooth Detection (YOLOv8-seg)</w:t>
            </w:r>
          </w:p>
        </w:tc>
        <w:tc>
          <w:tcPr>
            <w:tcW w:type="dxa" w:w="216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$1,820</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1A1A2E"/>
                <w:sz w:val="20"/>
                <w:szCs w:val="20"/>
              </w:rPr>
              <w:t xml:space="preserve">Phase 3</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Stage 2A — Pathology Classifier</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$1,625</w:t>
            </w:r>
          </w:p>
        </w:tc>
      </w:tr>
      <w:tr>
        <w:tc>
          <w:tcPr>
            <w:tcW w:type="dxa" w:w="144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bCs/>
                <w:i w:val="false"/>
                <w:iCs w:val="false"/>
                <w:color w:val="1A1A2E"/>
                <w:sz w:val="20"/>
                <w:szCs w:val="20"/>
              </w:rPr>
              <w:t xml:space="preserve">Phase 4</w:t>
            </w:r>
          </w:p>
        </w:tc>
        <w:tc>
          <w:tcPr>
            <w:tcW w:type="dxa" w:w="576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Stage 2B — Landmark Regression (U-Net)</w:t>
            </w:r>
          </w:p>
        </w:tc>
        <w:tc>
          <w:tcPr>
            <w:tcW w:type="dxa" w:w="216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$1,890</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1A1A2E"/>
                <w:sz w:val="20"/>
                <w:szCs w:val="20"/>
              </w:rPr>
              <w:t xml:space="preserve">Phase 5</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Clinical Rules Engine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$840</w:t>
            </w:r>
          </w:p>
        </w:tc>
      </w:tr>
      <w:tr>
        <w:tc>
          <w:tcPr>
            <w:tcW w:type="dxa" w:w="144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bCs/>
                <w:i w:val="false"/>
                <w:iCs w:val="false"/>
                <w:color w:val="1A1A2E"/>
                <w:sz w:val="20"/>
                <w:szCs w:val="20"/>
              </w:rPr>
              <w:t xml:space="preserve">Phase 6</w:t>
            </w:r>
          </w:p>
        </w:tc>
        <w:tc>
          <w:tcPr>
            <w:tcW w:type="dxa" w:w="576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Inference Pipeline &amp; Integration</w:t>
            </w:r>
          </w:p>
        </w:tc>
        <w:tc>
          <w:tcPr>
            <w:tcW w:type="dxa" w:w="216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$1,105</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1A1A2E"/>
                <w:sz w:val="20"/>
                <w:szCs w:val="20"/>
              </w:rPr>
              <w:t xml:space="preserve">Phase 7</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Call Center UI</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$1,400</w:t>
            </w:r>
          </w:p>
        </w:tc>
      </w:tr>
      <w:tr>
        <w:tc>
          <w:tcPr>
            <w:tcW w:type="dxa" w:w="144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bCs/>
                <w:i w:val="false"/>
                <w:iCs w:val="false"/>
                <w:color w:val="1A1A2E"/>
                <w:sz w:val="20"/>
                <w:szCs w:val="20"/>
              </w:rPr>
              <w:t xml:space="preserve">Phase 8</w:t>
            </w:r>
          </w:p>
        </w:tc>
        <w:tc>
          <w:tcPr>
            <w:tcW w:type="dxa" w:w="576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Project Management &amp; Delivery</w:t>
            </w:r>
          </w:p>
        </w:tc>
        <w:tc>
          <w:tcPr>
            <w:tcW w:type="dxa" w:w="216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$880</w:t>
            </w:r>
          </w:p>
        </w:tc>
      </w:tr>
      <w:tr>
        <w:tc>
          <w:tcPr>
            <w:tcW w:type="dxa" w:w="144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w:t>
            </w:r>
          </w:p>
        </w:tc>
        <w:tc>
          <w:tcPr>
            <w:tcW w:type="dxa" w:w="576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left"/>
            </w:pPr>
            <w:r>
              <w:rPr>
                <w:rFonts w:ascii="Arial" w:cs="Arial" w:eastAsia="Arial" w:hAnsi="Arial"/>
                <w:b w:val="false"/>
                <w:bCs w:val="false"/>
                <w:i/>
                <w:iCs/>
                <w:color w:val="1A1A2E"/>
                <w:sz w:val="20"/>
                <w:szCs w:val="20"/>
              </w:rPr>
              <w:t xml:space="preserve">Contingency Reserve (10%)</w:t>
            </w:r>
          </w:p>
        </w:tc>
        <w:tc>
          <w:tcPr>
            <w:tcW w:type="dxa" w:w="216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$1,155</w:t>
            </w:r>
          </w:p>
        </w:tc>
      </w:tr>
      <w:tr>
        <w:tc>
          <w:tcPr>
            <w:tcW w:type="dxa" w:w="7200"/>
            <w:gridSpan w:val="2"/>
            <w:tcBorders>
              <w:top w:val="single" w:color="CCCCCC" w:sz="1"/>
              <w:left w:val="single" w:color="CCCCCC" w:sz="1"/>
              <w:bottom w:val="single" w:color="CCCCCC" w:sz="1"/>
              <w:right w:val="single" w:color="CCCCCC" w:sz="1"/>
            </w:tcBorders>
            <w:shd w:fill="1B4F8A" w:val="clear"/>
            <w:tcMar>
              <w:top w:type="dxa" w:w="120"/>
              <w:left w:type="dxa" w:w="120"/>
              <w:bottom w:type="dxa" w:w="120"/>
              <w:right w:type="dxa" w:w="120"/>
            </w:tcMar>
          </w:tcPr>
          <w:p>
            <w:pPr>
              <w:jc w:val="right"/>
            </w:pPr>
            <w:r>
              <w:rPr>
                <w:rFonts w:ascii="Arial" w:cs="Arial" w:eastAsia="Arial" w:hAnsi="Arial"/>
                <w:b/>
                <w:bCs/>
                <w:color w:val="FFFFFF"/>
                <w:sz w:val="24"/>
                <w:szCs w:val="24"/>
              </w:rPr>
              <w:t xml:space="preserve">TOTAL PROJECT COST</w:t>
            </w:r>
          </w:p>
        </w:tc>
        <w:tc>
          <w:tcPr>
            <w:tcW w:type="dxa" w:w="21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right"/>
            </w:pPr>
            <w:r>
              <w:rPr>
                <w:rFonts w:ascii="Arial" w:cs="Arial" w:eastAsia="Arial" w:hAnsi="Arial"/>
                <w:b/>
                <w:bCs/>
                <w:i w:val="false"/>
                <w:iCs w:val="false"/>
                <w:color w:val="FFFFFF"/>
                <w:sz w:val="24"/>
                <w:szCs w:val="24"/>
              </w:rPr>
              <w:t xml:space="preserve">$11,705</w:t>
            </w:r>
          </w:p>
        </w:tc>
      </w:tr>
    </w:tbl>
    <w:p>
      <w:pPr>
        <w:spacing w:after="12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E8F4FD" w:val="clear"/>
            <w:tcMar>
              <w:top w:type="dxa" w:w="100"/>
              <w:left w:type="dxa" w:w="200"/>
              <w:bottom w:type="dxa" w:w="100"/>
              <w:right w:type="dxa" w:w="120"/>
            </w:tcMar>
          </w:tcPr>
          <w:p>
            <w:r>
              <w:rPr>
                <w:rFonts w:ascii="Arial" w:cs="Arial" w:eastAsia="Arial" w:hAnsi="Arial"/>
                <w:i/>
                <w:iCs/>
                <w:color w:val="1A1A2E"/>
                <w:sz w:val="19"/>
                <w:szCs w:val="19"/>
              </w:rPr>
              <w:t xml:space="preserve">A 10% contingency reserve ($1,155) is included to cover scope edge cases, extra revision rounds, and unforeseen technical challenges. If unused, this amount is either refunded or applied to future work at the client's discretion.</w:t>
            </w:r>
          </w:p>
        </w:tc>
      </w:tr>
    </w:tbl>
    <w:p>
      <w:pPr>
        <w:spacing w:after="0" w:before="360"/>
      </w:pPr>
    </w:p>
    <w:p>
      <w:pPr>
        <w:pStyle w:val="Heading2"/>
        <w:pBdr>
          <w:bottom w:val="single" w:color="2E75B6" w:sz="4" w:space="4"/>
        </w:pBdr>
        <w:spacing w:after="120" w:before="280"/>
      </w:pPr>
      <w:r>
        <w:rPr>
          <w:rFonts w:ascii="Arial" w:cs="Arial" w:eastAsia="Arial" w:hAnsi="Arial"/>
          <w:b/>
          <w:bCs/>
          <w:color w:val="2E75B6"/>
          <w:sz w:val="26"/>
          <w:szCs w:val="26"/>
        </w:rPr>
        <w:t xml:space="preserve">Payment Schedule</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4440"/>
        <w:gridCol w:w="1440"/>
        <w:gridCol w:w="1800"/>
      </w:tblGrid>
      <w:tr>
        <w:tc>
          <w:tcPr>
            <w:tcW w:type="dxa" w:w="168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Milestone</w:t>
            </w:r>
          </w:p>
        </w:tc>
        <w:tc>
          <w:tcPr>
            <w:tcW w:type="dxa" w:w="444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Deliverable</w:t>
            </w:r>
          </w:p>
        </w:tc>
        <w:tc>
          <w:tcPr>
            <w:tcW w:type="dxa" w:w="144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 Due</w:t>
            </w:r>
          </w:p>
        </w:tc>
        <w:tc>
          <w:tcPr>
            <w:tcW w:type="dxa" w:w="18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Amount (USD)</w:t>
            </w:r>
          </w:p>
        </w:tc>
      </w:tr>
      <w:tr>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1A1A2E"/>
                <w:sz w:val="20"/>
                <w:szCs w:val="20"/>
              </w:rPr>
              <w:t xml:space="preserve">Milestone 1</w:t>
            </w:r>
          </w:p>
        </w:tc>
        <w:tc>
          <w:tcPr>
            <w:tcW w:type="dxa" w:w="4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Project kickoff &amp; contract signing</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30%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$3,512</w:t>
            </w:r>
          </w:p>
        </w:tc>
      </w:tr>
      <w:tr>
        <w:tc>
          <w:tcPr>
            <w:tcW w:type="dxa" w:w="168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bCs/>
                <w:i w:val="false"/>
                <w:iCs w:val="false"/>
                <w:color w:val="1A1A2E"/>
                <w:sz w:val="20"/>
                <w:szCs w:val="20"/>
              </w:rPr>
              <w:t xml:space="preserve">Milestone 2</w:t>
            </w:r>
          </w:p>
        </w:tc>
        <w:tc>
          <w:tcPr>
            <w:tcW w:type="dxa" w:w="444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Preprocessing + Stage 1 model delivered</w:t>
            </w:r>
          </w:p>
        </w:tc>
        <w:tc>
          <w:tcPr>
            <w:tcW w:type="dxa" w:w="144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25%</w:t>
            </w:r>
          </w:p>
        </w:tc>
        <w:tc>
          <w:tcPr>
            <w:tcW w:type="dxa" w:w="180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$2,926</w:t>
            </w:r>
          </w:p>
        </w:tc>
      </w:tr>
      <w:tr>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1A1A2E"/>
                <w:sz w:val="20"/>
                <w:szCs w:val="20"/>
              </w:rPr>
              <w:t xml:space="preserve">Milestone 3</w:t>
            </w:r>
          </w:p>
        </w:tc>
        <w:tc>
          <w:tcPr>
            <w:tcW w:type="dxa" w:w="4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Stage 2A + clinical rules engine delivered</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25%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$2,926</w:t>
            </w:r>
          </w:p>
        </w:tc>
      </w:tr>
      <w:tr>
        <w:tc>
          <w:tcPr>
            <w:tcW w:type="dxa" w:w="168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bCs/>
                <w:i w:val="false"/>
                <w:iCs w:val="false"/>
                <w:color w:val="1A1A2E"/>
                <w:sz w:val="20"/>
                <w:szCs w:val="20"/>
              </w:rPr>
              <w:t xml:space="preserve">Milestone 4</w:t>
            </w:r>
          </w:p>
        </w:tc>
        <w:tc>
          <w:tcPr>
            <w:tcW w:type="dxa" w:w="444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1A1A2E"/>
                <w:sz w:val="20"/>
                <w:szCs w:val="20"/>
              </w:rPr>
              <w:t xml:space="preserve">Full pipeline + UI + Stage 2B (if data ready)</w:t>
            </w:r>
          </w:p>
        </w:tc>
        <w:tc>
          <w:tcPr>
            <w:tcW w:type="dxa" w:w="144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1A1A2E"/>
                <w:sz w:val="20"/>
                <w:szCs w:val="20"/>
              </w:rPr>
              <w:t xml:space="preserve">20%</w:t>
            </w:r>
          </w:p>
        </w:tc>
        <w:tc>
          <w:tcPr>
            <w:tcW w:type="dxa" w:w="180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right"/>
            </w:pPr>
            <w:r>
              <w:rPr>
                <w:rFonts w:ascii="Arial" w:cs="Arial" w:eastAsia="Arial" w:hAnsi="Arial"/>
                <w:b/>
                <w:bCs/>
                <w:i w:val="false"/>
                <w:iCs w:val="false"/>
                <w:color w:val="1A1A2E"/>
                <w:sz w:val="20"/>
                <w:szCs w:val="20"/>
              </w:rPr>
              <w:t xml:space="preserve">$2,341</w:t>
            </w:r>
          </w:p>
        </w:tc>
      </w:tr>
    </w:tbl>
    <w:p>
      <w:pPr>
        <w:spacing w:after="120" w:before="120"/>
      </w:pPr>
    </w:p>
    <w:p>
      <w:pPr>
        <w:spacing w:after="80" w:before="80"/>
        <w:jc w:val="left"/>
      </w:pPr>
      <w:r>
        <w:rPr>
          <w:rFonts w:ascii="Arial" w:cs="Arial" w:eastAsia="Arial" w:hAnsi="Arial"/>
          <w:b w:val="false"/>
          <w:bCs w:val="false"/>
          <w:i w:val="false"/>
          <w:iCs w:val="false"/>
          <w:color w:val="555555"/>
          <w:sz w:val="20"/>
          <w:szCs w:val="20"/>
        </w:rPr>
        <w:t xml:space="preserve">All milestone payments are due within 7 days of delivery and acceptance. Stage 2B (landmark regression) payment is triggered upon receipt of client-annotated landmark data, not upon contract signing.</w:t>
      </w:r>
    </w:p>
    <w:p>
      <w:pPr>
        <w:spacing w:after="0" w:before="360"/>
      </w:pPr>
    </w:p>
    <w:p>
      <w:pPr>
        <w:pStyle w:val="Heading2"/>
        <w:pBdr>
          <w:bottom w:val="single" w:color="2E75B6" w:sz="4" w:space="4"/>
        </w:pBdr>
        <w:spacing w:after="120" w:before="280"/>
      </w:pPr>
      <w:r>
        <w:rPr>
          <w:rFonts w:ascii="Arial" w:cs="Arial" w:eastAsia="Arial" w:hAnsi="Arial"/>
          <w:b/>
          <w:bCs/>
          <w:color w:val="2E75B6"/>
          <w:sz w:val="26"/>
          <w:szCs w:val="26"/>
        </w:rPr>
        <w:t xml:space="preserve">Optional Add-ons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3480"/>
        <w:gridCol w:w="2640"/>
      </w:tblGrid>
      <w:tr>
        <w:tc>
          <w:tcPr>
            <w:tcW w:type="dxa" w:w="324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Add-on</w:t>
            </w:r>
          </w:p>
        </w:tc>
        <w:tc>
          <w:tcPr>
            <w:tcW w:type="dxa" w:w="348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Notes</w:t>
            </w:r>
          </w:p>
        </w:tc>
        <w:tc>
          <w:tcPr>
            <w:tcW w:type="dxa" w:w="264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20"/>
                <w:szCs w:val="20"/>
              </w:rPr>
              <w:t xml:space="preserve">Estimate (USD)</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1A1A2E"/>
                <w:sz w:val="20"/>
                <w:szCs w:val="20"/>
              </w:rPr>
              <w:t xml:space="preserve">Cloud training (Colab Pro / vast.ai)</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1A1A2E"/>
                <w:sz w:val="20"/>
                <w:szCs w:val="20"/>
              </w:rPr>
              <w:t xml:space="preserve">Billed at cost + 10% mgmt fee</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right"/>
            </w:pPr>
            <w:r>
              <w:rPr>
                <w:rFonts w:ascii="Arial" w:cs="Arial" w:eastAsia="Arial" w:hAnsi="Arial"/>
                <w:b w:val="false"/>
                <w:bCs w:val="false"/>
                <w:i w:val="false"/>
                <w:iCs w:val="false"/>
                <w:color w:val="1A1A2E"/>
                <w:sz w:val="20"/>
                <w:szCs w:val="20"/>
              </w:rPr>
              <w:t xml:space="preserve">~$150–300</w:t>
            </w:r>
          </w:p>
        </w:tc>
      </w:tr>
      <w:tr>
        <w:tc>
          <w:tcPr>
            <w:tcW w:type="dxa" w:w="324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left"/>
            </w:pPr>
            <w:r>
              <w:rPr>
                <w:rFonts w:ascii="Arial" w:cs="Arial" w:eastAsia="Arial" w:hAnsi="Arial"/>
                <w:b/>
                <w:bCs/>
                <w:i w:val="false"/>
                <w:iCs w:val="false"/>
                <w:color w:val="1A1A2E"/>
                <w:sz w:val="20"/>
                <w:szCs w:val="20"/>
              </w:rPr>
              <w:t xml:space="preserve">CBCT integration (3D bone volume)</w:t>
            </w:r>
          </w:p>
        </w:tc>
        <w:tc>
          <w:tcPr>
            <w:tcW w:type="dxa" w:w="348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left"/>
            </w:pPr>
            <w:r>
              <w:rPr>
                <w:rFonts w:ascii="Arial" w:cs="Arial" w:eastAsia="Arial" w:hAnsi="Arial"/>
                <w:b w:val="false"/>
                <w:bCs w:val="false"/>
                <w:i/>
                <w:iCs/>
                <w:color w:val="1A1A2E"/>
                <w:sz w:val="20"/>
                <w:szCs w:val="20"/>
              </w:rPr>
              <w:t xml:space="preserve">Scope to be defined</w:t>
            </w:r>
          </w:p>
        </w:tc>
        <w:tc>
          <w:tcPr>
            <w:tcW w:type="dxa" w:w="264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right"/>
            </w:pPr>
            <w:r>
              <w:rPr>
                <w:rFonts w:ascii="Arial" w:cs="Arial" w:eastAsia="Arial" w:hAnsi="Arial"/>
                <w:b w:val="false"/>
                <w:bCs w:val="false"/>
                <w:i w:val="false"/>
                <w:iCs w:val="false"/>
                <w:color w:val="1A1A2E"/>
                <w:sz w:val="20"/>
                <w:szCs w:val="20"/>
              </w:rPr>
              <w:t xml:space="preserve">~$3,000–4,500</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1A1A2E"/>
                <w:sz w:val="20"/>
                <w:szCs w:val="20"/>
              </w:rPr>
              <w:t xml:space="preserve">Dental radiologist clinical audit (50 OPGs)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1A1A2E"/>
                <w:sz w:val="20"/>
                <w:szCs w:val="20"/>
              </w:rPr>
              <w:t xml:space="preserve">External cost, passed through</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right"/>
            </w:pPr>
            <w:r>
              <w:rPr>
                <w:rFonts w:ascii="Arial" w:cs="Arial" w:eastAsia="Arial" w:hAnsi="Arial"/>
                <w:b w:val="false"/>
                <w:bCs w:val="false"/>
                <w:i w:val="false"/>
                <w:iCs w:val="false"/>
                <w:color w:val="1A1A2E"/>
                <w:sz w:val="20"/>
                <w:szCs w:val="20"/>
              </w:rPr>
              <w:t xml:space="preserve">~$500–800</w:t>
            </w:r>
          </w:p>
        </w:tc>
      </w:tr>
      <w:tr>
        <w:tc>
          <w:tcPr>
            <w:tcW w:type="dxa" w:w="324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left"/>
            </w:pPr>
            <w:r>
              <w:rPr>
                <w:rFonts w:ascii="Arial" w:cs="Arial" w:eastAsia="Arial" w:hAnsi="Arial"/>
                <w:b/>
                <w:bCs/>
                <w:i w:val="false"/>
                <w:iCs w:val="false"/>
                <w:color w:val="1A1A2E"/>
                <w:sz w:val="20"/>
                <w:szCs w:val="20"/>
              </w:rPr>
              <w:t xml:space="preserve">Ongoing model maintenance (per month)</w:t>
            </w:r>
          </w:p>
        </w:tc>
        <w:tc>
          <w:tcPr>
            <w:tcW w:type="dxa" w:w="348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left"/>
            </w:pPr>
            <w:r>
              <w:rPr>
                <w:rFonts w:ascii="Arial" w:cs="Arial" w:eastAsia="Arial" w:hAnsi="Arial"/>
                <w:b w:val="false"/>
                <w:bCs w:val="false"/>
                <w:i/>
                <w:iCs/>
                <w:color w:val="1A1A2E"/>
                <w:sz w:val="20"/>
                <w:szCs w:val="20"/>
              </w:rPr>
              <w:t xml:space="preserve">Bug fixes + retraining support</w:t>
            </w:r>
          </w:p>
        </w:tc>
        <w:tc>
          <w:tcPr>
            <w:tcW w:type="dxa" w:w="264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vAlign w:val="center"/>
          </w:tcPr>
          <w:p>
            <w:pPr>
              <w:jc w:val="right"/>
            </w:pPr>
            <w:r>
              <w:rPr>
                <w:rFonts w:ascii="Arial" w:cs="Arial" w:eastAsia="Arial" w:hAnsi="Arial"/>
                <w:b w:val="false"/>
                <w:bCs w:val="false"/>
                <w:i w:val="false"/>
                <w:iCs w:val="false"/>
                <w:color w:val="1A1A2E"/>
                <w:sz w:val="20"/>
                <w:szCs w:val="20"/>
              </w:rPr>
              <w:t xml:space="preserve">$400/mo</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1A1A2E"/>
                <w:sz w:val="20"/>
                <w:szCs w:val="20"/>
              </w:rPr>
              <w:t xml:space="preserve">Additional annotation (per 100 OPGs)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1A1A2E"/>
                <w:sz w:val="20"/>
                <w:szCs w:val="20"/>
              </w:rPr>
              <w:t xml:space="preserve">Via Scale AI or Label Studio</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right"/>
            </w:pPr>
            <w:r>
              <w:rPr>
                <w:rFonts w:ascii="Arial" w:cs="Arial" w:eastAsia="Arial" w:hAnsi="Arial"/>
                <w:b w:val="false"/>
                <w:bCs w:val="false"/>
                <w:i w:val="false"/>
                <w:iCs w:val="false"/>
                <w:color w:val="1A1A2E"/>
                <w:sz w:val="20"/>
                <w:szCs w:val="20"/>
              </w:rPr>
              <w:t xml:space="preserve">~$1,500–2,500</w:t>
            </w:r>
          </w:p>
        </w:tc>
      </w:tr>
    </w:tbl>
    <w:p>
      <w:pPr>
        <w:spacing w:after="0" w:before="360"/>
      </w:pPr>
    </w:p>
    <w:p>
      <w:pPr>
        <w:pStyle w:val="Heading2"/>
        <w:pBdr>
          <w:bottom w:val="single" w:color="2E75B6" w:sz="4" w:space="4"/>
        </w:pBdr>
        <w:spacing w:after="120" w:before="280"/>
      </w:pPr>
      <w:r>
        <w:rPr>
          <w:rFonts w:ascii="Arial" w:cs="Arial" w:eastAsia="Arial" w:hAnsi="Arial"/>
          <w:b/>
          <w:bCs/>
          <w:color w:val="2E75B6"/>
          <w:sz w:val="26"/>
          <w:szCs w:val="26"/>
        </w:rPr>
        <w:t xml:space="preserve">Terms &amp; Conditions</w:t>
      </w:r>
    </w:p>
    <w:p>
      <w:pPr>
        <w:pStyle w:val="ListParagraph"/>
        <w:numPr>
          <w:ilvl w:val="0"/>
          <w:numId w:val="2"/>
        </w:numPr>
        <w:spacing w:after="60" w:before="60"/>
      </w:pPr>
      <w:r>
        <w:rPr>
          <w:rFonts w:ascii="Arial" w:cs="Arial" w:eastAsia="Arial" w:hAnsi="Arial"/>
          <w:color w:val="555555"/>
          <w:sz w:val="20"/>
          <w:szCs w:val="20"/>
        </w:rPr>
        <w:t xml:space="preserve">Quote is valid for 30 days from the date of issue.</w:t>
      </w:r>
    </w:p>
    <w:p>
      <w:pPr>
        <w:pStyle w:val="ListParagraph"/>
        <w:numPr>
          <w:ilvl w:val="0"/>
          <w:numId w:val="2"/>
        </w:numPr>
        <w:spacing w:after="60" w:before="60"/>
      </w:pPr>
      <w:r>
        <w:rPr>
          <w:rFonts w:ascii="Arial" w:cs="Arial" w:eastAsia="Arial" w:hAnsi="Arial"/>
          <w:color w:val="555555"/>
          <w:sz w:val="20"/>
          <w:szCs w:val="20"/>
        </w:rPr>
        <w:t xml:space="preserve">Rates are fixed for the agreed scope. Out-of-scope changes are quoted separately before work begins.</w:t>
      </w:r>
    </w:p>
    <w:p>
      <w:pPr>
        <w:pStyle w:val="ListParagraph"/>
        <w:numPr>
          <w:ilvl w:val="0"/>
          <w:numId w:val="2"/>
        </w:numPr>
        <w:spacing w:after="60" w:before="60"/>
      </w:pPr>
      <w:r>
        <w:rPr>
          <w:rFonts w:ascii="Arial" w:cs="Arial" w:eastAsia="Arial" w:hAnsi="Arial"/>
          <w:color w:val="555555"/>
          <w:sz w:val="20"/>
          <w:szCs w:val="20"/>
        </w:rPr>
        <w:t xml:space="preserve">Source code and trained model weights are transferred to the client upon final payment.</w:t>
      </w:r>
    </w:p>
    <w:p>
      <w:pPr>
        <w:pStyle w:val="ListParagraph"/>
        <w:numPr>
          <w:ilvl w:val="0"/>
          <w:numId w:val="2"/>
        </w:numPr>
        <w:spacing w:after="60" w:before="60"/>
      </w:pPr>
      <w:r>
        <w:rPr>
          <w:rFonts w:ascii="Arial" w:cs="Arial" w:eastAsia="Arial" w:hAnsi="Arial"/>
          <w:color w:val="555555"/>
          <w:sz w:val="20"/>
          <w:szCs w:val="20"/>
        </w:rPr>
        <w:t xml:space="preserve">Client is responsible for ensuring all patient X-rays used for training comply with applicable privacy regulations (HIPAA, PDPA, or equivalent).</w:t>
      </w:r>
    </w:p>
    <w:p>
      <w:pPr>
        <w:pStyle w:val="ListParagraph"/>
        <w:numPr>
          <w:ilvl w:val="0"/>
          <w:numId w:val="2"/>
        </w:numPr>
        <w:spacing w:after="60" w:before="60"/>
      </w:pPr>
      <w:r>
        <w:rPr>
          <w:rFonts w:ascii="Arial" w:cs="Arial" w:eastAsia="Arial" w:hAnsi="Arial"/>
          <w:color w:val="555555"/>
          <w:sz w:val="20"/>
          <w:szCs w:val="20"/>
        </w:rPr>
        <w:t xml:space="preserve">A clinical disclaimer will be embedded in every AI-generated report: findings require confirmation by a licensed dentist.</w:t>
      </w:r>
    </w:p>
    <w:p>
      <w:pPr>
        <w:pStyle w:val="ListParagraph"/>
        <w:numPr>
          <w:ilvl w:val="0"/>
          <w:numId w:val="2"/>
        </w:numPr>
        <w:spacing w:after="60" w:before="60"/>
      </w:pPr>
      <w:r>
        <w:rPr>
          <w:rFonts w:ascii="Arial" w:cs="Arial" w:eastAsia="Arial" w:hAnsi="Arial"/>
          <w:color w:val="555555"/>
          <w:sz w:val="20"/>
          <w:szCs w:val="20"/>
        </w:rPr>
        <w:t xml:space="preserve">Intellectual property developed during this project is exclusively owned by the client upon full payment.</w:t>
      </w:r>
    </w:p>
    <w:p>
      <w:pPr>
        <w:spacing w:after="0" w:before="360"/>
      </w:pPr>
    </w:p>
    <w:p>
      <w:pPr>
        <w:pBdr>
          <w:bottom w:val="single" w:color="CCCCCC" w:sz="2" w:space="1"/>
        </w:pBdr>
        <w:spacing w:after="160" w:before="160"/>
      </w:pPr>
    </w:p>
    <w:p>
      <w:pPr>
        <w:spacing w:after="40" w:before="120"/>
        <w:jc w:val="center"/>
      </w:pPr>
      <w:r>
        <w:rPr>
          <w:rFonts w:ascii="Arial" w:cs="Arial" w:eastAsia="Arial" w:hAnsi="Arial"/>
          <w:b/>
          <w:bCs/>
          <w:color w:val="1B4F8A"/>
          <w:sz w:val="20"/>
          <w:szCs w:val="20"/>
        </w:rPr>
        <w:t xml:space="preserve">EbusinessPal Sdn. Bhd.  |  Medical AI Development</w:t>
      </w:r>
    </w:p>
    <w:p>
      <w:pPr>
        <w:spacing w:after="0" w:before="0"/>
        <w:jc w:val="center"/>
      </w:pPr>
      <w:r>
        <w:rPr>
          <w:rFonts w:ascii="Arial" w:cs="Arial" w:eastAsia="Arial" w:hAnsi="Arial"/>
          <w:i/>
          <w:iCs/>
          <w:color w:val="555555"/>
          <w:sz w:val="16"/>
          <w:szCs w:val="16"/>
        </w:rPr>
        <w:t xml:space="preserve">This document is confidential and intended solely for the named recipient.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80"/>
    </w:pPr>
    <w:r>
      <w:rPr>
        <w:rFonts w:ascii="Arial" w:cs="Arial" w:eastAsia="Arial" w:hAnsi="Arial"/>
        <w:color w:val="555555"/>
        <w:sz w:val="16"/>
        <w:szCs w:val="16"/>
      </w:rPr>
      <w:t xml:space="preserve">EbusinessPal Sdn. Bhd.  |  Confidential</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jc w:val="right"/>
    </w:pPr>
    <w:r>
      <w:rPr>
        <w:rFonts w:ascii="Arial" w:cs="Arial" w:eastAsia="Arial" w:hAnsi="Arial"/>
        <w:color w:val="555555"/>
        <w:sz w:val="18"/>
        <w:szCs w:val="18"/>
      </w:rPr>
      <w:t xml:space="preserve">Dental AI Detection System — </w:t>
    </w:r>
    <w:r>
      <w:rPr>
        <w:rFonts w:ascii="Arial" w:cs="Arial" w:eastAsia="Arial" w:hAnsi="Arial"/>
        <w:b/>
        <w:bCs/>
        <w:color w:val="1B4F8A"/>
        <w:sz w:val="18"/>
        <w:szCs w:val="18"/>
      </w:rPr>
      <w:t xml:space="preserve">Project Cost Breakdown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4F8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2026-06-23T22:02:44.021Z</dcterms:created>
  <dcterms:modified xsi:type="dcterms:W3CDTF">2026-06-23T22:02:44.021Z</dcterms:modified>
</cp:coreProperties>
</file>

<file path=docProps/custom.xml><?xml version="1.0" encoding="utf-8"?>
<Properties xmlns="http://schemas.openxmlformats.org/officeDocument/2006/custom-properties" xmlns:vt="http://schemas.openxmlformats.org/officeDocument/2006/docPropsVTypes"/>
</file>