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B4F8A"/>
          <w:sz w:val="56"/>
          <w:szCs w:val="56"/>
        </w:rPr>
        <w:t xml:space="preserve">DATASET BREAKDOWN</w:t>
      </w:r>
    </w:p>
    <w:p>
      <w:pPr>
        <w:spacing w:after="80" w:before="0"/>
      </w:pPr>
      <w:r>
        <w:rPr>
          <w:rFonts w:ascii="Arial" w:cs="Arial" w:eastAsia="Arial" w:hAnsi="Arial"/>
          <w:color w:val="2E75B6"/>
          <w:sz w:val="32"/>
          <w:szCs w:val="32"/>
        </w:rPr>
        <w:t xml:space="preserve">&amp; Training Approach</w:t>
      </w:r>
    </w:p>
    <w:p>
      <w:pPr>
        <w:spacing w:after="80" w:before="0"/>
      </w:pPr>
      <w:r>
        <w:rPr>
          <w:rFonts w:ascii="Arial" w:cs="Arial" w:eastAsia="Arial" w:hAnsi="Arial"/>
          <w:color w:val="555555"/>
          <w:sz w:val="22"/>
          <w:szCs w:val="22"/>
        </w:rPr>
        <w:t xml:space="preserve">Dental AI Detection System — OPG Analysis &amp; Implant Assessment</w:t>
      </w:r>
    </w:p>
    <w:p>
      <w:pPr>
        <w:pBdr>
          <w:bottom w:val="single" w:color="CCCCCC" w:sz="2"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b/>
                <w:bCs/>
                <w:i w:val="false"/>
                <w:iCs w:val="false"/>
                <w:color w:val="1A1A2E"/>
                <w:sz w:val="19"/>
                <w:szCs w:val="19"/>
              </w:rPr>
              <w:t xml:space="preserve">Prepared by: EbusinessPal Sdn. Bhd.</w:t>
            </w:r>
          </w:p>
          <w:p>
            <w:pPr>
              <w:spacing w:after="80" w:before="80"/>
            </w:pPr>
            <w:r>
              <w:rPr>
                <w:rFonts w:ascii="Arial" w:cs="Arial" w:eastAsia="Arial" w:hAnsi="Arial"/>
                <w:b w:val="false"/>
                <w:bCs w:val="false"/>
                <w:i w:val="false"/>
                <w:iCs w:val="false"/>
                <w:color w:val="555555"/>
                <w:sz w:val="19"/>
                <w:szCs w:val="19"/>
              </w:rPr>
              <w:t xml:space="preserve">Date: 27 June 2026</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b/>
                <w:bCs/>
                <w:color w:val="1A1A2E"/>
                <w:sz w:val="19"/>
                <w:szCs w:val="19"/>
              </w:rPr>
              <w:t xml:space="preserve">Client: Clavis Labs / Ghaith Hafez</w:t>
            </w:r>
          </w:p>
          <w:p>
            <w:pPr>
              <w:jc w:val="right"/>
            </w:pPr>
            <w:r>
              <w:rPr>
                <w:rFonts w:ascii="Arial" w:cs="Arial" w:eastAsia="Arial" w:hAnsi="Arial"/>
                <w:color w:val="555555"/>
                <w:sz w:val="19"/>
                <w:szCs w:val="19"/>
              </w:rPr>
              <w:t xml:space="preserve">Project: Dental AI Detection System</w:t>
            </w:r>
          </w:p>
        </w:tc>
      </w:tr>
    </w:tbl>
    <w:p>
      <w:pPr>
        <w:spacing w:after="120" w:before="360"/>
      </w:pPr>
    </w:p>
    <w:p>
      <w:pPr>
        <w:pStyle w:val="Heading2"/>
        <w:pBdr>
          <w:bottom w:val="single" w:color="2E75B6" w:sz="4" w:space="4"/>
        </w:pBdr>
        <w:spacing w:after="120" w:before="300"/>
      </w:pPr>
      <w:r>
        <w:rPr>
          <w:rFonts w:ascii="Arial" w:cs="Arial" w:eastAsia="Arial" w:hAnsi="Arial"/>
          <w:b/>
          <w:bCs/>
          <w:color w:val="2E75B6"/>
          <w:sz w:val="26"/>
          <w:szCs w:val="26"/>
        </w:rPr>
        <w:t xml:space="preserve">1. Dataset Overview</w:t>
      </w:r>
    </w:p>
    <w:p>
      <w:pPr>
        <w:spacing w:after="80" w:before="80"/>
      </w:pPr>
      <w:r>
        <w:rPr>
          <w:rFonts w:ascii="Arial" w:cs="Arial" w:eastAsia="Arial" w:hAnsi="Arial"/>
          <w:b w:val="false"/>
          <w:bCs w:val="false"/>
          <w:i w:val="false"/>
          <w:iCs w:val="false"/>
          <w:color w:val="555555"/>
          <w:sz w:val="19"/>
          <w:szCs w:val="19"/>
        </w:rPr>
        <w:t xml:space="preserve">The primary dataset used for this project is the DENTEX Challenge 2023 dataset, published at MICCAI 2023 and hosted on Kaggle. It consists of panoramic dental X-rays (OPGs) annotated by dental radiologists with tooth locations, FDI numbering, and four disease categories. The dataset is structured into four training subsets and one validation subset, each serving a distinct role in the pipeline.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2160"/>
      </w:tblGrid>
      <w:tr>
        <w:tc>
          <w:tcPr>
            <w:tcW w:type="dxa" w:w="288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Subset</w:t>
            </w:r>
          </w:p>
        </w:tc>
        <w:tc>
          <w:tcPr>
            <w:tcW w:type="dxa" w:w="144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Images</w:t>
            </w:r>
          </w:p>
        </w:tc>
        <w:tc>
          <w:tcPr>
            <w:tcW w:type="dxa" w:w="144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Annotations</w:t>
            </w:r>
          </w:p>
        </w:tc>
        <w:tc>
          <w:tcPr>
            <w:tcW w:type="dxa" w:w="144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Labels</w:t>
            </w:r>
          </w:p>
        </w:tc>
        <w:tc>
          <w:tcPr>
            <w:tcW w:type="dxa" w:w="216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Used For</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quadrant</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693</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~2,500</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Quadrant (1–4)</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Stage 1 augmentation</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quadrant_enumeration</w:t>
            </w:r>
          </w:p>
        </w:tc>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634</w:t>
            </w:r>
          </w:p>
        </w:tc>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~4,300</w:t>
            </w:r>
          </w:p>
        </w:tc>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FDI tooth (11–48)</w:t>
            </w:r>
          </w:p>
        </w:tc>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Stage 1 primary training</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quadrant_enumeration_disease</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705</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~3,600</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FDI + 4 diseases</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Stage 2A classifier training</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unlabelled</w:t>
            </w:r>
          </w:p>
        </w:tc>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1,571</w:t>
            </w:r>
          </w:p>
        </w:tc>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None</w:t>
            </w:r>
          </w:p>
        </w:tc>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Stage 1 test set (images only)</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validation_data / quadrant_enumeration_disease</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50</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None (held-out)</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Final held-out test set</w:t>
            </w:r>
          </w:p>
        </w:tc>
      </w:tr>
      <w:tr>
        <w:tc>
          <w:tcPr>
            <w:tcW w:type="dxa" w:w="2880"/>
            <w:gridSpan w:val="1"/>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B4F8A"/>
                <w:sz w:val="19"/>
                <w:szCs w:val="19"/>
              </w:rPr>
              <w:t xml:space="preserve">TOTAL</w:t>
            </w:r>
          </w:p>
        </w:tc>
        <w:tc>
          <w:tcPr>
            <w:tcW w:type="dxa" w:w="1440"/>
            <w:gridSpan w:val="1"/>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1B4F8A"/>
                <w:sz w:val="19"/>
                <w:szCs w:val="19"/>
              </w:rPr>
              <w:t xml:space="preserve">3,653</w:t>
            </w:r>
          </w:p>
        </w:tc>
        <w:tc>
          <w:tcPr>
            <w:tcW w:type="dxa" w:w="1440"/>
            <w:gridSpan w:val="1"/>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1B4F8A"/>
                <w:sz w:val="19"/>
                <w:szCs w:val="19"/>
              </w:rPr>
              <w:t xml:space="preserve">~10,400</w:t>
            </w:r>
          </w:p>
        </w:tc>
        <w:tc>
          <w:tcPr>
            <w:tcW w:type="dxa" w:w="1440"/>
            <w:gridSpan w:val="1"/>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w:r>
          </w:p>
        </w:tc>
        <w:tc>
          <w:tcPr>
            <w:tcW w:type="dxa" w:w="2160"/>
            <w:gridSpan w:val="1"/>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w:r>
          </w:p>
        </w:tc>
      </w:tr>
    </w:tbl>
    <w:p>
      <w:pPr>
        <w:spacing w:after="120" w:before="200"/>
      </w:pPr>
    </w:p>
    <w:p>
      <w:pPr>
        <w:pStyle w:val="Heading2"/>
        <w:pBdr>
          <w:bottom w:val="single" w:color="2E75B6" w:sz="4" w:space="4"/>
        </w:pBdr>
        <w:spacing w:after="120" w:before="300"/>
      </w:pPr>
      <w:r>
        <w:rPr>
          <w:rFonts w:ascii="Arial" w:cs="Arial" w:eastAsia="Arial" w:hAnsi="Arial"/>
          <w:b/>
          <w:bCs/>
          <w:color w:val="2E75B6"/>
          <w:sz w:val="26"/>
          <w:szCs w:val="26"/>
        </w:rPr>
        <w:t xml:space="preserve">2. Annotation Format</w:t>
      </w:r>
    </w:p>
    <w:p>
      <w:pPr>
        <w:spacing w:after="80" w:before="80"/>
      </w:pPr>
      <w:r>
        <w:rPr>
          <w:rFonts w:ascii="Arial" w:cs="Arial" w:eastAsia="Arial" w:hAnsi="Arial"/>
          <w:b w:val="false"/>
          <w:bCs w:val="false"/>
          <w:i w:val="false"/>
          <w:iCs w:val="false"/>
          <w:color w:val="555555"/>
          <w:sz w:val="19"/>
          <w:szCs w:val="19"/>
        </w:rPr>
        <w:t xml:space="preserve">All annotations are in COCO JSON format. Each subset uses a different set of category fields depending on the level of labelling available: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Subset</w:t>
            </w:r>
          </w:p>
        </w:tc>
        <w:tc>
          <w:tcPr>
            <w:tcW w:type="dxa" w:w="216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Annotation Fields</w:t>
            </w:r>
          </w:p>
        </w:tc>
        <w:tc>
          <w:tcPr>
            <w:tcW w:type="dxa" w:w="432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Description</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quadrant</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category_id</w:t>
            </w:r>
          </w:p>
        </w:tc>
        <w:tc>
          <w:tcPr>
            <w:tcW w:type="dxa" w:w="43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Single value 1–4 indicating jaw quadrant (upper-right, upper-left, lower-left, lower-right)</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quadrant_enumeration</w:t>
            </w:r>
          </w:p>
        </w:tc>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category_id_1
category_id_2</w:t>
            </w:r>
          </w:p>
        </w:tc>
        <w:tc>
          <w:tcPr>
            <w:tcW w:type="dxa" w:w="432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category_id_1 = quadrant (1–4)   |   category_id_2 = tooth position within quadrant (1–8) → combined = FDI number (e.g. quadrant 2, tooth 3 = FDI 23)</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quadrant_enumeration_disease</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category_id_1
category_id_2
category_id_3</w:t>
            </w:r>
          </w:p>
        </w:tc>
        <w:tc>
          <w:tcPr>
            <w:tcW w:type="dxa" w:w="43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category_id_1 = quadrant   |   category_id_2 = tooth position   |   category_id_3 = disease label: 1=caries, 2=deep caries, 3=periapical lesion, 4=impacted tooth. Only diseased teeth are annotated — healthy teeth have no entry.</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EBF5FB" w:val="clear"/>
            <w:tcMar>
              <w:top w:type="dxa" w:w="100"/>
              <w:left w:type="dxa" w:w="200"/>
              <w:bottom w:type="dxa" w:w="100"/>
              <w:right w:type="dxa" w:w="140"/>
            </w:tcMar>
          </w:tcPr>
          <w:p>
            <w:r>
              <w:rPr>
                <w:rFonts w:ascii="Arial" w:cs="Arial" w:eastAsia="Arial" w:hAnsi="Arial"/>
                <w:i/>
                <w:iCs/>
                <w:color w:val="1A1A2E"/>
                <w:sz w:val="19"/>
                <w:szCs w:val="19"/>
              </w:rPr>
              <w:t xml:space="preserve">Important: The disease subset (quadrant_enumeration_disease) only annotates teeth with confirmed pathology. Images with zero annotations are treated as healthy samples in Stage 2A training — the absence of annotation is itself a label.</w:t>
            </w:r>
          </w:p>
        </w:tc>
      </w:tr>
    </w:tbl>
    <w:p>
      <w:pPr>
        <w:spacing w:after="120" w:before="200"/>
      </w:pPr>
    </w:p>
    <w:p>
      <w:pPr>
        <w:pStyle w:val="Heading2"/>
        <w:pBdr>
          <w:bottom w:val="single" w:color="2E75B6" w:sz="4" w:space="4"/>
        </w:pBdr>
        <w:spacing w:after="120" w:before="300"/>
      </w:pPr>
      <w:r>
        <w:rPr>
          <w:rFonts w:ascii="Arial" w:cs="Arial" w:eastAsia="Arial" w:hAnsi="Arial"/>
          <w:b/>
          <w:bCs/>
          <w:color w:val="2E75B6"/>
          <w:sz w:val="26"/>
          <w:szCs w:val="26"/>
        </w:rPr>
        <w:t xml:space="preserve">3. Train / Validation / Test Split Strategy</w:t>
      </w:r>
    </w:p>
    <w:p>
      <w:pPr>
        <w:spacing w:after="120" w:before="80"/>
      </w:pPr>
    </w:p>
    <w:p>
      <w:pPr>
        <w:spacing w:after="80" w:before="200"/>
      </w:pPr>
      <w:r>
        <w:rPr>
          <w:rFonts w:ascii="Arial" w:cs="Arial" w:eastAsia="Arial" w:hAnsi="Arial"/>
          <w:b/>
          <w:bCs/>
          <w:color w:val="2E75B6"/>
          <w:sz w:val="22"/>
          <w:szCs w:val="22"/>
        </w:rPr>
        <w:t xml:space="preserve">Stage 1 — Tooth Detection (YOLOv8)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4320"/>
      </w:tblGrid>
      <w:tr>
        <w:tc>
          <w:tcPr>
            <w:tcW w:type="dxa" w:w="216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Source</w:t>
            </w:r>
          </w:p>
        </w:tc>
        <w:tc>
          <w:tcPr>
            <w:tcW w:type="dxa" w:w="144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Split</w:t>
            </w:r>
          </w:p>
        </w:tc>
        <w:tc>
          <w:tcPr>
            <w:tcW w:type="dxa" w:w="144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Images</w:t>
            </w:r>
          </w:p>
        </w:tc>
        <w:tc>
          <w:tcPr>
            <w:tcW w:type="dxa" w:w="432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Notes</w:t>
            </w:r>
          </w:p>
        </w:tc>
      </w:tr>
      <w:tr>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quadrant_enumeration</w:t>
            </w:r>
          </w:p>
        </w:tc>
        <w:tc>
          <w:tcPr>
            <w:tcW w:type="dxa" w:w="1440"/>
            <w:gridSpan w:val="1"/>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19"/>
                <w:szCs w:val="19"/>
              </w:rPr>
              <w:t xml:space="preserve">Train (80%)</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~507</w:t>
            </w:r>
          </w:p>
        </w:tc>
        <w:tc>
          <w:tcPr>
            <w:tcW w:type="dxa" w:w="43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Full 32-class FDI labels. Primary training data.</w:t>
            </w:r>
          </w:p>
        </w:tc>
      </w:tr>
      <w:tr>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quadrant_enumeration</w:t>
            </w:r>
          </w:p>
        </w:tc>
        <w:tc>
          <w:tcPr>
            <w:tcW w:type="dxa" w:w="144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bCs/>
                <w:i w:val="false"/>
                <w:iCs w:val="false"/>
                <w:color w:val="B7770D"/>
                <w:sz w:val="19"/>
                <w:szCs w:val="19"/>
              </w:rPr>
              <w:t xml:space="preserve">Val (10%)</w:t>
            </w:r>
          </w:p>
        </w:tc>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~63</w:t>
            </w:r>
          </w:p>
        </w:tc>
        <w:tc>
          <w:tcPr>
            <w:tcW w:type="dxa" w:w="432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Used to compute mAP@0.5 and trigger early stopping.</w:t>
            </w:r>
          </w:p>
        </w:tc>
      </w:tr>
      <w:tr>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quadrant_enumeration</w:t>
            </w:r>
          </w:p>
        </w:tc>
        <w:tc>
          <w:tcPr>
            <w:tcW w:type="dxa" w:w="1440"/>
            <w:gridSpan w:val="1"/>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center"/>
          </w:tcPr>
          <w:p>
            <w:pPr>
              <w:jc w:val="left"/>
            </w:pPr>
            <w:r>
              <w:rPr>
                <w:rFonts w:ascii="Arial" w:cs="Arial" w:eastAsia="Arial" w:hAnsi="Arial"/>
                <w:b/>
                <w:bCs/>
                <w:i w:val="false"/>
                <w:iCs w:val="false"/>
                <w:color w:val="922B21"/>
                <w:sz w:val="19"/>
                <w:szCs w:val="19"/>
              </w:rPr>
              <w:t xml:space="preserve">Test (10%)</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~63</w:t>
            </w:r>
          </w:p>
        </w:tc>
        <w:tc>
          <w:tcPr>
            <w:tcW w:type="dxa" w:w="43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Held out until final evaluation. Never seen during training.</w:t>
            </w:r>
          </w:p>
        </w:tc>
      </w:tr>
      <w:tr>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quadrant (all 693)</w:t>
            </w:r>
          </w:p>
        </w:tc>
        <w:tc>
          <w:tcPr>
            <w:tcW w:type="dxa" w:w="1440"/>
            <w:gridSpan w:val="1"/>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19"/>
                <w:szCs w:val="19"/>
              </w:rPr>
              <w:t xml:space="preserve">Train aug.</w:t>
            </w:r>
          </w:p>
        </w:tc>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693</w:t>
            </w:r>
          </w:p>
        </w:tc>
        <w:tc>
          <w:tcPr>
            <w:tcW w:type="dxa" w:w="432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Coarse 4-class quadrant labels. Adds volume for localisation pretraining. Prefixed 'q_' to avoid filename collisions.</w:t>
            </w:r>
          </w:p>
        </w:tc>
      </w:tr>
      <w:tr>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unlabelled (200 sample)</w:t>
            </w:r>
          </w:p>
        </w:tc>
        <w:tc>
          <w:tcPr>
            <w:tcW w:type="dxa" w:w="1440"/>
            <w:gridSpan w:val="1"/>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center"/>
          </w:tcPr>
          <w:p>
            <w:pPr>
              <w:jc w:val="left"/>
            </w:pPr>
            <w:r>
              <w:rPr>
                <w:rFonts w:ascii="Arial" w:cs="Arial" w:eastAsia="Arial" w:hAnsi="Arial"/>
                <w:b/>
                <w:bCs/>
                <w:i w:val="false"/>
                <w:iCs w:val="false"/>
                <w:color w:val="922B21"/>
                <w:sz w:val="19"/>
                <w:szCs w:val="19"/>
              </w:rPr>
              <w:t xml:space="preserve">Test ext.</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200</w:t>
            </w:r>
          </w:p>
        </w:tc>
        <w:tc>
          <w:tcPr>
            <w:tcW w:type="dxa" w:w="43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Images only — no labels. Used for visual inference checks and demo purposes.</w:t>
            </w:r>
          </w:p>
        </w:tc>
      </w:tr>
      <w:tr>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validation_data (50)</w:t>
            </w:r>
          </w:p>
        </w:tc>
        <w:tc>
          <w:tcPr>
            <w:tcW w:type="dxa" w:w="1440"/>
            <w:gridSpan w:val="1"/>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center"/>
          </w:tcPr>
          <w:p>
            <w:pPr>
              <w:jc w:val="left"/>
            </w:pPr>
            <w:r>
              <w:rPr>
                <w:rFonts w:ascii="Arial" w:cs="Arial" w:eastAsia="Arial" w:hAnsi="Arial"/>
                <w:b/>
                <w:bCs/>
                <w:i w:val="false"/>
                <w:iCs w:val="false"/>
                <w:color w:val="922B21"/>
                <w:sz w:val="19"/>
                <w:szCs w:val="19"/>
              </w:rPr>
              <w:t xml:space="preserve">Test final</w:t>
            </w:r>
          </w:p>
        </w:tc>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50</w:t>
            </w:r>
          </w:p>
        </w:tc>
        <w:tc>
          <w:tcPr>
            <w:tcW w:type="dxa" w:w="432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Official DENTEX validation set. Held-out final test. No ground truth available publicly.</w:t>
            </w:r>
          </w:p>
        </w:tc>
      </w:tr>
    </w:tbl>
    <w:p>
      <w:pPr>
        <w:spacing w:after="120" w:before="160"/>
      </w:pPr>
    </w:p>
    <w:p>
      <w:pPr>
        <w:spacing w:after="80" w:before="200"/>
      </w:pPr>
      <w:r>
        <w:rPr>
          <w:rFonts w:ascii="Arial" w:cs="Arial" w:eastAsia="Arial" w:hAnsi="Arial"/>
          <w:b/>
          <w:bCs/>
          <w:color w:val="2E75B6"/>
          <w:sz w:val="22"/>
          <w:szCs w:val="22"/>
        </w:rPr>
        <w:t xml:space="preserve">Stage 2A — Pathology Classifier (EfficientNet-B3)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4320"/>
      </w:tblGrid>
      <w:tr>
        <w:tc>
          <w:tcPr>
            <w:tcW w:type="dxa" w:w="216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Source</w:t>
            </w:r>
          </w:p>
        </w:tc>
        <w:tc>
          <w:tcPr>
            <w:tcW w:type="dxa" w:w="144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Split</w:t>
            </w:r>
          </w:p>
        </w:tc>
        <w:tc>
          <w:tcPr>
            <w:tcW w:type="dxa" w:w="144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Images</w:t>
            </w:r>
          </w:p>
        </w:tc>
        <w:tc>
          <w:tcPr>
            <w:tcW w:type="dxa" w:w="432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Notes</w:t>
            </w:r>
          </w:p>
        </w:tc>
      </w:tr>
      <w:tr>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quadrant_enumeration_disease</w:t>
            </w:r>
          </w:p>
        </w:tc>
        <w:tc>
          <w:tcPr>
            <w:tcW w:type="dxa" w:w="1440"/>
            <w:gridSpan w:val="1"/>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19"/>
                <w:szCs w:val="19"/>
              </w:rPr>
              <w:t xml:space="preserve">Train (80%)</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~564</w:t>
            </w:r>
          </w:p>
        </w:tc>
        <w:tc>
          <w:tcPr>
            <w:tcW w:type="dxa" w:w="43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Per-tooth 128×128px crops extracted at each disease bbox. Unannotated images yield 'healthy' whole-image crops.</w:t>
            </w:r>
          </w:p>
        </w:tc>
      </w:tr>
      <w:tr>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quadrant_enumeration_disease</w:t>
            </w:r>
          </w:p>
        </w:tc>
        <w:tc>
          <w:tcPr>
            <w:tcW w:type="dxa" w:w="144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bCs/>
                <w:i w:val="false"/>
                <w:iCs w:val="false"/>
                <w:color w:val="B7770D"/>
                <w:sz w:val="19"/>
                <w:szCs w:val="19"/>
              </w:rPr>
              <w:t xml:space="preserve">Val (20%)</w:t>
            </w:r>
          </w:p>
        </w:tc>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~141</w:t>
            </w:r>
          </w:p>
        </w:tc>
        <w:tc>
          <w:tcPr>
            <w:tcW w:type="dxa" w:w="432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Used to compute AUC-ROC per class and trigger early stopping.</w:t>
            </w:r>
          </w:p>
        </w:tc>
      </w:tr>
    </w:tbl>
    <w:p>
      <w:pPr>
        <w:spacing w:after="120" w:before="160"/>
      </w:pPr>
    </w:p>
    <w:p>
      <w:pPr>
        <w:spacing w:after="80" w:before="200"/>
      </w:pPr>
      <w:r>
        <w:rPr>
          <w:rFonts w:ascii="Arial" w:cs="Arial" w:eastAsia="Arial" w:hAnsi="Arial"/>
          <w:b/>
          <w:bCs/>
          <w:color w:val="2E75B6"/>
          <w:sz w:val="22"/>
          <w:szCs w:val="22"/>
        </w:rPr>
        <w:t xml:space="preserve">Stage 2B — Landmark Regression (U-Net)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7770D" w:sz="16"/>
              <w:bottom w:val="single" w:color="CCCCCC" w:sz="1"/>
              <w:right w:val="single" w:color="CCCCCC" w:sz="1"/>
            </w:tcBorders>
            <w:shd w:fill="FEF9E7" w:val="clear"/>
            <w:tcMar>
              <w:top w:type="dxa" w:w="100"/>
              <w:left w:type="dxa" w:w="200"/>
              <w:bottom w:type="dxa" w:w="100"/>
              <w:right w:type="dxa" w:w="140"/>
            </w:tcMar>
          </w:tcPr>
          <w:p>
            <w:r>
              <w:rPr>
                <w:rFonts w:ascii="Arial" w:cs="Arial" w:eastAsia="Arial" w:hAnsi="Arial"/>
                <w:i/>
                <w:iCs/>
                <w:color w:val="1A1A2E"/>
                <w:sz w:val="19"/>
                <w:szCs w:val="19"/>
              </w:rPr>
              <w:t xml:space="preserve">Stage 2B does not use DENTEX data. It requires client-provided OPG images annotated with sinus floor and inferior alveolar nerve canal landmark coordinates (minimum 200 images). This module is pending client data delivery and will train automatically once annotations are received.</w:t>
            </w:r>
          </w:p>
        </w:tc>
      </w:tr>
    </w:tbl>
    <w:p>
      <w:pPr>
        <w:spacing w:after="120" w:before="200"/>
      </w:pPr>
    </w:p>
    <w:p>
      <w:r>
        <w:br w:type="page"/>
      </w:r>
    </w:p>
    <w:p>
      <w:pPr>
        <w:pStyle w:val="Heading2"/>
        <w:pBdr>
          <w:bottom w:val="single" w:color="2E75B6" w:sz="4" w:space="4"/>
        </w:pBdr>
        <w:spacing w:after="120" w:before="300"/>
      </w:pPr>
      <w:r>
        <w:rPr>
          <w:rFonts w:ascii="Arial" w:cs="Arial" w:eastAsia="Arial" w:hAnsi="Arial"/>
          <w:b/>
          <w:bCs/>
          <w:color w:val="2E75B6"/>
          <w:sz w:val="26"/>
          <w:szCs w:val="26"/>
        </w:rPr>
        <w:t xml:space="preserve">4. Preprocessing Pipeline</w:t>
      </w:r>
    </w:p>
    <w:p>
      <w:pPr>
        <w:spacing w:after="80" w:before="80"/>
      </w:pPr>
      <w:r>
        <w:rPr>
          <w:rFonts w:ascii="Arial" w:cs="Arial" w:eastAsia="Arial" w:hAnsi="Arial"/>
          <w:b w:val="false"/>
          <w:bCs w:val="false"/>
          <w:i w:val="false"/>
          <w:iCs w:val="false"/>
          <w:color w:val="555555"/>
          <w:sz w:val="19"/>
          <w:szCs w:val="19"/>
        </w:rPr>
        <w:t xml:space="preserve">Every image passes through the same preprocessing steps before entering any training stage. This ensures consistent contrast, resolution, and format across all scanner types represented in the dataset.</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3120"/>
        <w:gridCol w:w="3600"/>
      </w:tblGrid>
      <w:tr>
        <w:tc>
          <w:tcPr>
            <w:tcW w:type="dxa" w:w="48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w:t>
            </w:r>
          </w:p>
        </w:tc>
        <w:tc>
          <w:tcPr>
            <w:tcW w:type="dxa" w:w="216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Step</w:t>
            </w:r>
          </w:p>
        </w:tc>
        <w:tc>
          <w:tcPr>
            <w:tcW w:type="dxa" w:w="312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Method</w:t>
            </w:r>
          </w:p>
        </w:tc>
        <w:tc>
          <w:tcPr>
            <w:tcW w:type="dxa" w:w="360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Why</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1</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Load image</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cv2.imread (grayscale mode)</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OPGs are grayscale — no colour information needed</w:t>
            </w:r>
          </w:p>
        </w:tc>
      </w:tr>
      <w:tr>
        <w:tc>
          <w:tcPr>
            <w:tcW w:type="dxa" w:w="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2</w:t>
            </w:r>
          </w:p>
        </w:tc>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CLAHE contrast</w:t>
            </w:r>
          </w:p>
        </w:tc>
        <w:tc>
          <w:tcPr>
            <w:tcW w:type="dxa" w:w="312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clipLimit=2.0, tileGridSize=(8×8)</w:t>
            </w:r>
          </w:p>
        </w:tc>
        <w:tc>
          <w:tcPr>
            <w:tcW w:type="dxa" w:w="36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Enhances bone/tissue boundaries suppressed by scanner normalisation. Critical for low-contrast regions near the sinus and nerve canal</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3</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Letterbox resize</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Target 640×640px with padding</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Preserves OPG aspect ratio (~2:1 width:height). Padding with black pixels avoids distorting anatomy</w:t>
            </w:r>
          </w:p>
        </w:tc>
      </w:tr>
      <w:tr>
        <w:tc>
          <w:tcPr>
            <w:tcW w:type="dxa" w:w="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4</w:t>
            </w:r>
          </w:p>
        </w:tc>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RGB conversion</w:t>
            </w:r>
          </w:p>
        </w:tc>
        <w:tc>
          <w:tcPr>
            <w:tcW w:type="dxa" w:w="312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cv2.COLOR_GRAY2RGB</w:t>
            </w:r>
          </w:p>
        </w:tc>
        <w:tc>
          <w:tcPr>
            <w:tcW w:type="dxa" w:w="36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YOLOv8 and EfficientNet-B3 expect 3-channel input. All three channels are identical (grayscale replicated)</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5</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Bbox transform</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Scale + pad offset applied to coordinates</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Annotation coordinates from the original image are remapped to match the letterboxed 640×640 canvas</w:t>
            </w:r>
          </w:p>
        </w:tc>
      </w:tr>
      <w:tr>
        <w:tc>
          <w:tcPr>
            <w:tcW w:type="dxa" w:w="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6</w:t>
            </w:r>
          </w:p>
        </w:tc>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YOLO label write</w:t>
            </w:r>
          </w:p>
        </w:tc>
        <w:tc>
          <w:tcPr>
            <w:tcW w:type="dxa" w:w="312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[class_idx cx cy w h] per line, normalised 0–1</w:t>
            </w:r>
          </w:p>
        </w:tc>
        <w:tc>
          <w:tcPr>
            <w:tcW w:type="dxa" w:w="36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Standard YOLO detection format. Class index maps to FDI tooth number (0=FDI11 … 31=FDI48)</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7</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Crop extraction</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20% padding around each disease bbox, resized to 128×128</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Loose crops give EfficientNet-B3 surrounding context (important for detecting periapical lesions near the root tip)</w:t>
            </w:r>
          </w:p>
        </w:tc>
      </w:tr>
    </w:tbl>
    <w:p>
      <w:pPr>
        <w:spacing w:after="120" w:before="200"/>
      </w:pPr>
    </w:p>
    <w:p>
      <w:pPr>
        <w:pStyle w:val="Heading2"/>
        <w:pBdr>
          <w:bottom w:val="single" w:color="2E75B6" w:sz="4" w:space="4"/>
        </w:pBdr>
        <w:spacing w:after="120" w:before="300"/>
      </w:pPr>
      <w:r>
        <w:rPr>
          <w:rFonts w:ascii="Arial" w:cs="Arial" w:eastAsia="Arial" w:hAnsi="Arial"/>
          <w:b/>
          <w:bCs/>
          <w:color w:val="2E75B6"/>
          <w:sz w:val="26"/>
          <w:szCs w:val="26"/>
        </w:rPr>
        <w:t xml:space="preserve">5. Stage 1 — Tooth Detection &amp; FDI Numbering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Parameter</w:t>
            </w:r>
          </w:p>
        </w:tc>
        <w:tc>
          <w:tcPr>
            <w:tcW w:type="dxa" w:w="648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Rationale</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Model</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YOLOv8s (small detection) — chosen over YOLOv8-seg because DENTEX provides bounding boxes only, not polygon masks</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Pretrained on</w:t>
            </w:r>
          </w:p>
        </w:tc>
        <w:tc>
          <w:tcPr>
            <w:tcW w:type="dxa" w:w="6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COCO (80 general classes) → fine-tuned on 32 FDI dental classes</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Input size</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640×640px — standard for YOLOv8; balances accuracy and VRAM usage on &lt;10GB GPUs</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Batch size</w:t>
            </w:r>
          </w:p>
        </w:tc>
        <w:tc>
          <w:tcPr>
            <w:tcW w:type="dxa" w:w="6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 (VRAM &lt; 8GB) or 8 (VRAM ≥ 8GB) — auto-detected at runtime</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Epochs</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100 with early stopping (patience=20) — training stops if val mAP does not improve for 20 consecutive epochs</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Optimiser</w:t>
            </w:r>
          </w:p>
        </w:tc>
        <w:tc>
          <w:tcPr>
            <w:tcW w:type="dxa" w:w="6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AdamW, lr=1e-3, weight_decay=5e-4, cosine LR decay to 1e-5</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Precision</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FP16 (half precision) on GPU — halves VRAM usage with negligible accuracy impact</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Checkpoint</w:t>
            </w:r>
          </w:p>
        </w:tc>
        <w:tc>
          <w:tcPr>
            <w:tcW w:type="dxa" w:w="6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Saved every 5 epochs + every epoch as last.pt — enables resume after any shutdown</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Target metric</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mAP@0.5 ≥ 0.70 on the validation split</w:t>
            </w:r>
          </w:p>
        </w:tc>
      </w:tr>
    </w:tbl>
    <w:p>
      <w:pPr>
        <w:spacing w:after="120" w:before="140"/>
      </w:pPr>
    </w:p>
    <w:p>
      <w:pPr>
        <w:spacing w:after="80" w:before="200"/>
      </w:pPr>
      <w:r>
        <w:rPr>
          <w:rFonts w:ascii="Arial" w:cs="Arial" w:eastAsia="Arial" w:hAnsi="Arial"/>
          <w:b/>
          <w:bCs/>
          <w:color w:val="2E75B6"/>
          <w:sz w:val="22"/>
          <w:szCs w:val="22"/>
        </w:rPr>
        <w:t xml:space="preserve">Augmentation Strategy</w:t>
      </w:r>
    </w:p>
    <w:p>
      <w:pPr>
        <w:spacing w:after="80" w:before="80"/>
      </w:pPr>
      <w:r>
        <w:rPr>
          <w:rFonts w:ascii="Arial" w:cs="Arial" w:eastAsia="Arial" w:hAnsi="Arial"/>
          <w:b w:val="false"/>
          <w:bCs w:val="false"/>
          <w:i w:val="false"/>
          <w:iCs w:val="false"/>
          <w:color w:val="555555"/>
          <w:sz w:val="19"/>
          <w:szCs w:val="19"/>
        </w:rPr>
        <w:t xml:space="preserve">Augmentation is deliberately conservative for OPG images — unlike natural photos, panoramic X-rays have fixed anatomical orientation conventions and cannot be freely rotated or flipped without breaking clinical context.</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c>
          <w:tcPr>
            <w:tcW w:type="dxa" w:w="288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Augmentation</w:t>
            </w:r>
          </w:p>
        </w:tc>
        <w:tc>
          <w:tcPr>
            <w:tcW w:type="dxa" w:w="144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w:t>
            </w:r>
          </w:p>
        </w:tc>
        <w:tc>
          <w:tcPr>
            <w:tcW w:type="dxa" w:w="504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Rationale</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Horizontal flip</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30%</w:t>
            </w:r>
          </w:p>
        </w:tc>
        <w:tc>
          <w:tcPr>
            <w:tcW w:type="dxa" w:w="50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Left-right jaw is anatomically symmetric — safe to flip</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Vertical flip</w:t>
            </w:r>
          </w:p>
        </w:tc>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0%</w:t>
            </w:r>
          </w:p>
        </w:tc>
        <w:tc>
          <w:tcPr>
            <w:tcW w:type="dxa" w:w="50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Upper/lower jaw must stay in correct position — never flip vertically</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Rotation</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±5°</w:t>
            </w:r>
          </w:p>
        </w:tc>
        <w:tc>
          <w:tcPr>
            <w:tcW w:type="dxa" w:w="50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Minimal rotation accounts for patient head tilt during X-ray</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Translation</w:t>
            </w:r>
          </w:p>
        </w:tc>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±5%</w:t>
            </w:r>
          </w:p>
        </w:tc>
        <w:tc>
          <w:tcPr>
            <w:tcW w:type="dxa" w:w="50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Small positional shifts simulate slight sensor misalignment</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Scale jitter</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±10%</w:t>
            </w:r>
          </w:p>
        </w:tc>
        <w:tc>
          <w:tcPr>
            <w:tcW w:type="dxa" w:w="50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Accounts for variation in patient size and X-ray magnification</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Brightness (hsv_v)</w:t>
            </w:r>
          </w:p>
        </w:tc>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±30%</w:t>
            </w:r>
          </w:p>
        </w:tc>
        <w:tc>
          <w:tcPr>
            <w:tcW w:type="dxa" w:w="50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Simulates variation across different scanner models and exposure settings</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Mosaic</w:t>
            </w:r>
          </w:p>
        </w:tc>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Off</w:t>
            </w:r>
          </w:p>
        </w:tc>
        <w:tc>
          <w:tcPr>
            <w:tcW w:type="dxa" w:w="50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Mosaic mixes images — destroys the full-arch dental anatomy context essential for OPG interpretation</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Hue / Saturation</w:t>
            </w:r>
          </w:p>
        </w:tc>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Off</w:t>
            </w:r>
          </w:p>
        </w:tc>
        <w:tc>
          <w:tcPr>
            <w:tcW w:type="dxa" w:w="50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Grayscale images — these have no effect and are disabled to avoid unnecessary computation</w:t>
            </w:r>
          </w:p>
        </w:tc>
      </w:tr>
    </w:tbl>
    <w:p>
      <w:pPr>
        <w:spacing w:after="120" w:before="160"/>
      </w:pPr>
    </w:p>
    <w:p>
      <w:pPr>
        <w:spacing w:after="80" w:before="200"/>
      </w:pPr>
      <w:r>
        <w:rPr>
          <w:rFonts w:ascii="Arial" w:cs="Arial" w:eastAsia="Arial" w:hAnsi="Arial"/>
          <w:b/>
          <w:bCs/>
          <w:color w:val="2E75B6"/>
          <w:sz w:val="22"/>
          <w:szCs w:val="22"/>
        </w:rPr>
        <w:t xml:space="preserve">Missing Tooth Detection</w:t>
      </w:r>
    </w:p>
    <w:p>
      <w:pPr>
        <w:spacing w:after="80" w:before="80"/>
      </w:pPr>
      <w:r>
        <w:rPr>
          <w:rFonts w:ascii="Arial" w:cs="Arial" w:eastAsia="Arial" w:hAnsi="Arial"/>
          <w:b w:val="false"/>
          <w:bCs w:val="false"/>
          <w:i w:val="false"/>
          <w:iCs w:val="false"/>
          <w:color w:val="555555"/>
          <w:sz w:val="19"/>
          <w:szCs w:val="19"/>
        </w:rPr>
        <w:t xml:space="preserve">DENTEX only annotates teeth that are present. Missing teeth are inferred in post-processing: after Stage 1 predicts all detected teeth, the full expected FDI set (11–48, excluding wisdom teeth 18/28/38/48 which are commonly absent) is compared to the detected set. Any FDI number absent from the predictions is flagged as a missing tooth site requiring implant assessment.</w:t>
      </w:r>
    </w:p>
    <w:p>
      <w:pPr>
        <w:spacing w:after="120" w:before="200"/>
      </w:pPr>
    </w:p>
    <w:p>
      <w:r>
        <w:br w:type="page"/>
      </w:r>
    </w:p>
    <w:p>
      <w:pPr>
        <w:pStyle w:val="Heading2"/>
        <w:pBdr>
          <w:bottom w:val="single" w:color="2E75B6" w:sz="4" w:space="4"/>
        </w:pBdr>
        <w:spacing w:after="120" w:before="300"/>
      </w:pPr>
      <w:r>
        <w:rPr>
          <w:rFonts w:ascii="Arial" w:cs="Arial" w:eastAsia="Arial" w:hAnsi="Arial"/>
          <w:b/>
          <w:bCs/>
          <w:color w:val="2E75B6"/>
          <w:sz w:val="26"/>
          <w:szCs w:val="26"/>
        </w:rPr>
        <w:t xml:space="preserve">6. Stage 2A — Per-Tooth Pathology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Parameter</w:t>
            </w:r>
          </w:p>
        </w:tc>
        <w:tc>
          <w:tcPr>
            <w:tcW w:type="dxa" w:w="648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Rationale</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Model</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EfficientNet-B3 — lightweight (12M params), strong on small images, low VRAM footprint</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Pretrained on</w:t>
            </w:r>
          </w:p>
        </w:tc>
        <w:tc>
          <w:tcPr>
            <w:tcW w:type="dxa" w:w="6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ImageNet → fine-tuned on 128×128 dental tooth crops</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Input size</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128×128px per-tooth crop — tight enough to focus on one tooth, loose enough (20% padding) to capture surrounding bone context</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Classes</w:t>
            </w:r>
          </w:p>
        </w:tc>
        <w:tc>
          <w:tcPr>
            <w:tcW w:type="dxa" w:w="6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5 — healthy, caries, deep_caries, periapical_lesion, impacted</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Batch size</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32 — crops are small (128×128) so 32 fits comfortably in &lt;8GB VRAM</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Epochs</w:t>
            </w:r>
          </w:p>
        </w:tc>
        <w:tc>
          <w:tcPr>
            <w:tcW w:type="dxa" w:w="6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50 with early stopping (patience=15)</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Optimiser</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AdamW, lr=1e-4, cosine annealing decay to 1e-6</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Loss function</w:t>
            </w:r>
          </w:p>
        </w:tc>
        <w:tc>
          <w:tcPr>
            <w:tcW w:type="dxa" w:w="6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CrossEntropyLoss with class weights — rare classes (periapical, impacted) get higher weights to counter the natural imbalance in the dataset</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Target metric</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Macro AUC-ROC ≥ 0.85 across all 5 classes</w:t>
            </w:r>
          </w:p>
        </w:tc>
      </w:tr>
    </w:tbl>
    <w:p>
      <w:pPr>
        <w:spacing w:after="120" w:before="140"/>
      </w:pPr>
    </w:p>
    <w:p>
      <w:pPr>
        <w:spacing w:after="80" w:before="200"/>
      </w:pPr>
      <w:r>
        <w:rPr>
          <w:rFonts w:ascii="Arial" w:cs="Arial" w:eastAsia="Arial" w:hAnsi="Arial"/>
          <w:b/>
          <w:bCs/>
          <w:color w:val="2E75B6"/>
          <w:sz w:val="22"/>
          <w:szCs w:val="22"/>
        </w:rPr>
        <w:t xml:space="preserve">Class Imbalance Handling</w:t>
      </w:r>
    </w:p>
    <w:p>
      <w:pPr>
        <w:spacing w:after="80" w:before="80"/>
      </w:pPr>
      <w:r>
        <w:rPr>
          <w:rFonts w:ascii="Arial" w:cs="Arial" w:eastAsia="Arial" w:hAnsi="Arial"/>
          <w:b w:val="false"/>
          <w:bCs w:val="false"/>
          <w:i w:val="false"/>
          <w:iCs w:val="false"/>
          <w:color w:val="555555"/>
          <w:sz w:val="19"/>
          <w:szCs w:val="19"/>
        </w:rPr>
        <w:t xml:space="preserve">The DENTEX disease subset has a significant natural imbalance — caries is the most common finding while periapical lesions and impacted teeth are rarer. Healthy teeth (images with no annotations) are synthetically undersampled to prevent the model from simply predicting 'healthy' for everything. Class weights are computed automatically from the actual crop counts in the training split and applied to the loss function at runtime.</w:t>
      </w:r>
    </w:p>
    <w:p>
      <w:pPr>
        <w:spacing w:after="120" w:before="140"/>
      </w:pPr>
    </w:p>
    <w:p>
      <w:pPr>
        <w:spacing w:after="80" w:before="200"/>
      </w:pPr>
      <w:r>
        <w:rPr>
          <w:rFonts w:ascii="Arial" w:cs="Arial" w:eastAsia="Arial" w:hAnsi="Arial"/>
          <w:b/>
          <w:bCs/>
          <w:color w:val="2E75B6"/>
          <w:sz w:val="22"/>
          <w:szCs w:val="22"/>
        </w:rPr>
        <w:t xml:space="preserve">Healthy Sample Generation</w:t>
      </w:r>
    </w:p>
    <w:p>
      <w:pPr>
        <w:spacing w:after="80" w:before="80"/>
      </w:pPr>
      <w:r>
        <w:rPr>
          <w:rFonts w:ascii="Arial" w:cs="Arial" w:eastAsia="Arial" w:hAnsi="Arial"/>
          <w:b w:val="false"/>
          <w:bCs w:val="false"/>
          <w:i w:val="false"/>
          <w:iCs w:val="false"/>
          <w:color w:val="555555"/>
          <w:sz w:val="19"/>
          <w:szCs w:val="19"/>
        </w:rPr>
        <w:t xml:space="preserve">Because DENTEX only annotates diseased teeth, healthy samples must be derived indirectly. Two strategies are used:</w:t>
      </w:r>
    </w:p>
    <w:p>
      <w:pPr>
        <w:pStyle w:val="ListParagraph"/>
        <w:numPr>
          <w:ilvl w:val="0"/>
          <w:numId w:val="2"/>
        </w:numPr>
        <w:spacing w:after="50" w:before="50"/>
      </w:pPr>
      <w:r>
        <w:rPr>
          <w:rFonts w:ascii="Arial" w:cs="Arial" w:eastAsia="Arial" w:hAnsi="Arial"/>
          <w:color w:val="555555"/>
          <w:sz w:val="19"/>
          <w:szCs w:val="19"/>
        </w:rPr>
        <w:t xml:space="preserve">Images with zero disease annotations → entire resized image saved as one healthy crop</w:t>
      </w:r>
    </w:p>
    <w:p>
      <w:pPr>
        <w:pStyle w:val="ListParagraph"/>
        <w:numPr>
          <w:ilvl w:val="0"/>
          <w:numId w:val="2"/>
        </w:numPr>
        <w:spacing w:after="50" w:before="50"/>
      </w:pPr>
      <w:r>
        <w:rPr>
          <w:rFonts w:ascii="Arial" w:cs="Arial" w:eastAsia="Arial" w:hAnsi="Arial"/>
          <w:color w:val="555555"/>
          <w:sz w:val="19"/>
          <w:szCs w:val="19"/>
        </w:rPr>
        <w:t xml:space="preserve">In future iterations: teeth detected by Stage 1 that have no overlapping disease bbox in the disease subset → treated as healthy crops (pseudo-labelling)</w:t>
      </w:r>
    </w:p>
    <w:p>
      <w:pPr>
        <w:spacing w:after="120" w:before="200"/>
      </w:pPr>
    </w:p>
    <w:p>
      <w:pPr>
        <w:pStyle w:val="Heading2"/>
        <w:pBdr>
          <w:bottom w:val="single" w:color="2E75B6" w:sz="4" w:space="4"/>
        </w:pBdr>
        <w:spacing w:after="120" w:before="300"/>
      </w:pPr>
      <w:r>
        <w:rPr>
          <w:rFonts w:ascii="Arial" w:cs="Arial" w:eastAsia="Arial" w:hAnsi="Arial"/>
          <w:b/>
          <w:bCs/>
          <w:color w:val="2E75B6"/>
          <w:sz w:val="26"/>
          <w:szCs w:val="26"/>
        </w:rPr>
        <w:t xml:space="preserve">7. Stage 2B — Sinus Floor &amp; Nerve Canal Landmark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7770D" w:sz="16"/>
              <w:bottom w:val="single" w:color="CCCCCC" w:sz="1"/>
              <w:right w:val="single" w:color="CCCCCC" w:sz="1"/>
            </w:tcBorders>
            <w:shd w:fill="FEF9E7" w:val="clear"/>
            <w:tcMar>
              <w:top w:type="dxa" w:w="100"/>
              <w:left w:type="dxa" w:w="200"/>
              <w:bottom w:type="dxa" w:w="100"/>
              <w:right w:type="dxa" w:w="140"/>
            </w:tcMar>
          </w:tcPr>
          <w:p>
            <w:r>
              <w:rPr>
                <w:rFonts w:ascii="Arial" w:cs="Arial" w:eastAsia="Arial" w:hAnsi="Arial"/>
                <w:i/>
                <w:iCs/>
                <w:color w:val="1A1A2E"/>
                <w:sz w:val="19"/>
                <w:szCs w:val="19"/>
              </w:rPr>
              <w:t xml:space="preserve">Stage 2B is currently blocked pending client annotation data. This section documents the planned approach that will execute automatically once data is available.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Parameter</w:t>
            </w:r>
          </w:p>
        </w:tc>
        <w:tc>
          <w:tcPr>
            <w:tcW w:type="dxa" w:w="648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Rationale</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Model</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U-Net with regression output head — encoder-decoder architecture that excels at dense spatial prediction from full images</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Input</w:t>
            </w:r>
          </w:p>
        </w:tc>
        <w:tc>
          <w:tcPr>
            <w:tcW w:type="dxa" w:w="6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640×640px full OPG (grayscale, 1 channel)</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Output</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3-channel heatmap stack (640×640): channel 0=bone crest, channel 1=sinus floor, channel 2=nerve canal</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Heatmap type</w:t>
            </w:r>
          </w:p>
        </w:tc>
        <w:tc>
          <w:tcPr>
            <w:tcW w:type="dxa" w:w="6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2D Gaussian heatmaps centred on each landmark point (σ=10px). Multiple points per channel (e.g. several points along the nerve canal) are max-pooled into a single heatmap</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Loss function</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MSELoss between predicted and ground-truth heatmaps</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Batch size</w:t>
            </w:r>
          </w:p>
        </w:tc>
        <w:tc>
          <w:tcPr>
            <w:tcW w:type="dxa" w:w="6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 — full 640×640 images are large; 4 fits comfortably in &lt;8GB VRAM</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Epochs</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80 with early stopping (patience=20)</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Eval metric</w:t>
            </w:r>
          </w:p>
        </w:tc>
        <w:tc>
          <w:tcPr>
            <w:tcW w:type="dxa" w:w="6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Mean Radial Error (MRE) in mm — distance between predicted and ground-truth landmark peak, converted using ~0.27mm/pixel OPG calibration</w:t>
            </w:r>
          </w:p>
        </w:tc>
      </w:tr>
      <w:tr>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Target MRE</w:t>
            </w:r>
          </w:p>
        </w:tc>
        <w:tc>
          <w:tcPr>
            <w:tcW w:type="dxa" w:w="6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&lt; 2.0mm — clinically significant threshold for implant planning accuracy</w:t>
            </w:r>
          </w:p>
        </w:tc>
      </w:tr>
      <w:tr>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Data required</w:t>
            </w:r>
          </w:p>
        </w:tc>
        <w:tc>
          <w:tcPr>
            <w:tcW w:type="dxa" w:w="64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Minimum 200 annotated OPGs. Each image annotated with sinus floor + nerve canal landmark coordinates (normalised 0–1)</w:t>
            </w:r>
          </w:p>
        </w:tc>
      </w:tr>
    </w:tbl>
    <w:p>
      <w:pPr>
        <w:spacing w:after="120" w:before="200"/>
      </w:pPr>
    </w:p>
    <w:p>
      <w:pPr>
        <w:pStyle w:val="Heading2"/>
        <w:pBdr>
          <w:bottom w:val="single" w:color="2E75B6" w:sz="4" w:space="4"/>
        </w:pBdr>
        <w:spacing w:after="120" w:before="300"/>
      </w:pPr>
      <w:r>
        <w:rPr>
          <w:rFonts w:ascii="Arial" w:cs="Arial" w:eastAsia="Arial" w:hAnsi="Arial"/>
          <w:b/>
          <w:bCs/>
          <w:color w:val="2E75B6"/>
          <w:sz w:val="26"/>
          <w:szCs w:val="26"/>
        </w:rPr>
        <w:t xml:space="preserve">8. Model Outputs &amp; Saved Files</w:t>
      </w:r>
    </w:p>
    <w:p>
      <w:pPr>
        <w:spacing w:after="80" w:before="80"/>
      </w:pPr>
      <w:r>
        <w:rPr>
          <w:rFonts w:ascii="Arial" w:cs="Arial" w:eastAsia="Arial" w:hAnsi="Arial"/>
          <w:b w:val="false"/>
          <w:bCs w:val="false"/>
          <w:i w:val="false"/>
          <w:iCs w:val="false"/>
          <w:color w:val="555555"/>
          <w:sz w:val="19"/>
          <w:szCs w:val="19"/>
        </w:rPr>
        <w:t xml:space="preserve">After training completes, the following files are produced. All paths are relative to the working directory where the script is run.</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File Path</w:t>
            </w:r>
          </w:p>
        </w:tc>
        <w:tc>
          <w:tcPr>
            <w:tcW w:type="dxa" w:w="180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Size (approx.)</w:t>
            </w:r>
          </w:p>
        </w:tc>
        <w:tc>
          <w:tcPr>
            <w:tcW w:type="dxa" w:w="396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Purpose</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iCs/>
                <w:color w:val="1A1A2E"/>
                <w:sz w:val="19"/>
                <w:szCs w:val="19"/>
              </w:rPr>
              <w:t xml:space="preserve">runs/stage1/train/weights/best.pt</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~22 MB</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Best Stage 1 model — used in inference. Selected by highest val mAP@0.5</w:t>
            </w:r>
          </w:p>
        </w:tc>
      </w:tr>
      <w:tr>
        <w:tc>
          <w:tcPr>
            <w:tcW w:type="dxa" w:w="36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iCs/>
                <w:color w:val="1A1A2E"/>
                <w:sz w:val="19"/>
                <w:szCs w:val="19"/>
              </w:rPr>
              <w:t xml:space="preserve">runs/stage1/train/weights/last.pt</w:t>
            </w:r>
          </w:p>
        </w:tc>
        <w:tc>
          <w:tcPr>
            <w:tcW w:type="dxa" w:w="18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~22 MB</w:t>
            </w:r>
          </w:p>
        </w:tc>
        <w:tc>
          <w:tcPr>
            <w:tcW w:type="dxa" w:w="39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Last epoch checkpoint — used to resume training after shutdown</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iCs/>
                <w:color w:val="1A1A2E"/>
                <w:sz w:val="19"/>
                <w:szCs w:val="19"/>
              </w:rPr>
              <w:t xml:space="preserve">runs/stage1/train/results.csv</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&lt; 1 MB</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Per-epoch metrics: mAP, precision, recall, box loss</w:t>
            </w:r>
          </w:p>
        </w:tc>
      </w:tr>
      <w:tr>
        <w:tc>
          <w:tcPr>
            <w:tcW w:type="dxa" w:w="36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iCs/>
                <w:color w:val="1A1A2E"/>
                <w:sz w:val="19"/>
                <w:szCs w:val="19"/>
              </w:rPr>
              <w:t xml:space="preserve">runs/stage1/train/confusion_matrix.png</w:t>
            </w:r>
          </w:p>
        </w:tc>
        <w:tc>
          <w:tcPr>
            <w:tcW w:type="dxa" w:w="18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&lt; 1 MB</w:t>
            </w:r>
          </w:p>
        </w:tc>
        <w:tc>
          <w:tcPr>
            <w:tcW w:type="dxa" w:w="39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Confusion matrix across all 32 FDI classes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iCs/>
                <w:color w:val="1A1A2E"/>
                <w:sz w:val="19"/>
                <w:szCs w:val="19"/>
              </w:rPr>
              <w:t xml:space="preserve">runs/stage2a/best.pt</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~48 MB</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Best Stage 2A model — selected by highest val macro AUC-ROC</w:t>
            </w:r>
          </w:p>
        </w:tc>
      </w:tr>
      <w:tr>
        <w:tc>
          <w:tcPr>
            <w:tcW w:type="dxa" w:w="36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iCs/>
                <w:color w:val="1A1A2E"/>
                <w:sz w:val="19"/>
                <w:szCs w:val="19"/>
              </w:rPr>
              <w:t xml:space="preserve">runs/stage2a/last.pt</w:t>
            </w:r>
          </w:p>
        </w:tc>
        <w:tc>
          <w:tcPr>
            <w:tcW w:type="dxa" w:w="18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~48 MB</w:t>
            </w:r>
          </w:p>
        </w:tc>
        <w:tc>
          <w:tcPr>
            <w:tcW w:type="dxa" w:w="39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Last epoch checkpoint for resume</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iCs/>
                <w:color w:val="1A1A2E"/>
                <w:sz w:val="19"/>
                <w:szCs w:val="19"/>
              </w:rPr>
              <w:t xml:space="preserve">runs/stage2b/best.pt</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~12 MB</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Best Stage 2B U-Net model (after client data)</w:t>
            </w:r>
          </w:p>
        </w:tc>
      </w:tr>
      <w:tr>
        <w:tc>
          <w:tcPr>
            <w:tcW w:type="dxa" w:w="36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iCs/>
                <w:color w:val="1A1A2E"/>
                <w:sz w:val="19"/>
                <w:szCs w:val="19"/>
              </w:rPr>
              <w:t xml:space="preserve">runs/stage2b/last.pt</w:t>
            </w:r>
          </w:p>
        </w:tc>
        <w:tc>
          <w:tcPr>
            <w:tcW w:type="dxa" w:w="18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~12 MB</w:t>
            </w:r>
          </w:p>
        </w:tc>
        <w:tc>
          <w:tcPr>
            <w:tcW w:type="dxa" w:w="39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Last epoch checkpoint for resume</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iCs/>
                <w:color w:val="1A1A2E"/>
                <w:sz w:val="19"/>
                <w:szCs w:val="19"/>
              </w:rPr>
              <w:t xml:space="preserve">.dental_ai_state.json</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&lt; 1 KB</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Pipeline state file — tracks which steps are complete for auto-resume</w:t>
            </w:r>
          </w:p>
        </w:tc>
      </w:tr>
    </w:tbl>
    <w:p>
      <w:pPr>
        <w:spacing w:after="12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EBF5FB" w:val="clear"/>
            <w:tcMar>
              <w:top w:type="dxa" w:w="100"/>
              <w:left w:type="dxa" w:w="200"/>
              <w:bottom w:type="dxa" w:w="100"/>
              <w:right w:type="dxa" w:w="140"/>
            </w:tcMar>
          </w:tcPr>
          <w:p>
            <w:r>
              <w:rPr>
                <w:rFonts w:ascii="Arial" w:cs="Arial" w:eastAsia="Arial" w:hAnsi="Arial"/>
                <w:i/>
                <w:iCs/>
                <w:color w:val="1A1A2E"/>
                <w:sz w:val="19"/>
                <w:szCs w:val="19"/>
              </w:rPr>
              <w:t xml:space="preserve">Never delete the runs/ folder while training is in progress. The last.pt checkpoint is what allows training to resume exactly from where it stopped after any shutdown. Only delete it if you want to restart a stage from scratch using --reset-step.</w:t>
            </w:r>
          </w:p>
        </w:tc>
      </w:tr>
    </w:tbl>
    <w:p>
      <w:pPr>
        <w:spacing w:after="120" w:before="200"/>
      </w:pPr>
    </w:p>
    <w:p>
      <w:pPr>
        <w:pStyle w:val="Heading2"/>
        <w:pBdr>
          <w:bottom w:val="single" w:color="2E75B6" w:sz="4" w:space="4"/>
        </w:pBdr>
        <w:spacing w:after="120" w:before="300"/>
      </w:pPr>
      <w:r>
        <w:rPr>
          <w:rFonts w:ascii="Arial" w:cs="Arial" w:eastAsia="Arial" w:hAnsi="Arial"/>
          <w:b/>
          <w:bCs/>
          <w:color w:val="2E75B6"/>
          <w:sz w:val="26"/>
          <w:szCs w:val="26"/>
        </w:rPr>
        <w:t xml:space="preserve">9. Evaluation Metrics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c>
          <w:tcPr>
            <w:tcW w:type="dxa" w:w="144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Stage</w:t>
            </w:r>
          </w:p>
        </w:tc>
        <w:tc>
          <w:tcPr>
            <w:tcW w:type="dxa" w:w="216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Metric</w:t>
            </w:r>
          </w:p>
        </w:tc>
        <w:tc>
          <w:tcPr>
            <w:tcW w:type="dxa" w:w="216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Target</w:t>
            </w:r>
          </w:p>
        </w:tc>
        <w:tc>
          <w:tcPr>
            <w:tcW w:type="dxa" w:w="360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Description</w:t>
            </w:r>
          </w:p>
        </w:tc>
      </w:tr>
      <w:tr>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4F8A"/>
                <w:sz w:val="19"/>
                <w:szCs w:val="19"/>
              </w:rPr>
              <w:t xml:space="preserve">Stage 1</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mAP@0.5</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9"/>
                <w:szCs w:val="19"/>
              </w:rPr>
              <w:t xml:space="preserve">≥ 0.70</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Mean Average Precision at IoU=0.50 across all 32 FDI classes. Primary Stage 1 metric.</w:t>
            </w:r>
          </w:p>
        </w:tc>
      </w:tr>
      <w:tr>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B4F8A"/>
                <w:sz w:val="19"/>
                <w:szCs w:val="19"/>
              </w:rPr>
              <w:t xml:space="preserve">Stage 1</w:t>
            </w:r>
          </w:p>
        </w:tc>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mAP@0.5:0.95</w:t>
            </w:r>
          </w:p>
        </w:tc>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9"/>
                <w:szCs w:val="19"/>
              </w:rPr>
              <w:t xml:space="preserve">≥ 0.45</w:t>
            </w:r>
          </w:p>
        </w:tc>
        <w:tc>
          <w:tcPr>
            <w:tcW w:type="dxa" w:w="36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Stricter mAP averaged over IoU thresholds 0.5 to 0.95. Secondary metric.</w:t>
            </w:r>
          </w:p>
        </w:tc>
      </w:tr>
      <w:tr>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4F8A"/>
                <w:sz w:val="19"/>
                <w:szCs w:val="19"/>
              </w:rPr>
              <w:t xml:space="preserve">Stage 1</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Precision</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9"/>
                <w:szCs w:val="19"/>
              </w:rPr>
              <w:t xml:space="preserve">≥ 0.75</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Of all tooth detections made, what fraction are correct FDI assignments.</w:t>
            </w:r>
          </w:p>
        </w:tc>
      </w:tr>
      <w:tr>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B4F8A"/>
                <w:sz w:val="19"/>
                <w:szCs w:val="19"/>
              </w:rPr>
              <w:t xml:space="preserve">Stage 1</w:t>
            </w:r>
          </w:p>
        </w:tc>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Recall</w:t>
            </w:r>
          </w:p>
        </w:tc>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9"/>
                <w:szCs w:val="19"/>
              </w:rPr>
              <w:t xml:space="preserve">≥ 0.75</w:t>
            </w:r>
          </w:p>
        </w:tc>
        <w:tc>
          <w:tcPr>
            <w:tcW w:type="dxa" w:w="36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Of all teeth in the image, what fraction are successfully detected.</w:t>
            </w:r>
          </w:p>
        </w:tc>
      </w:tr>
      <w:tr>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19"/>
                <w:szCs w:val="19"/>
              </w:rPr>
              <w:t xml:space="preserve">Stage 2A</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AUC-ROC (macro)</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9"/>
                <w:szCs w:val="19"/>
              </w:rPr>
              <w:t xml:space="preserve">≥ 0.85</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Area under ROC curve averaged across all 5 disease classes. Robust to class imbalance.</w:t>
            </w:r>
          </w:p>
        </w:tc>
      </w:tr>
      <w:tr>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19"/>
                <w:szCs w:val="19"/>
              </w:rPr>
              <w:t xml:space="preserve">Stage 2A</w:t>
            </w:r>
          </w:p>
        </w:tc>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Per-class AUC</w:t>
            </w:r>
          </w:p>
        </w:tc>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9"/>
                <w:szCs w:val="19"/>
              </w:rPr>
              <w:t xml:space="preserve">≥ 0.80</w:t>
            </w:r>
          </w:p>
        </w:tc>
        <w:tc>
          <w:tcPr>
            <w:tcW w:type="dxa" w:w="36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AUC reported separately for caries, deep caries, periapical lesion, impacted.</w:t>
            </w:r>
          </w:p>
        </w:tc>
      </w:tr>
      <w:tr>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6C3483"/>
                <w:sz w:val="19"/>
                <w:szCs w:val="19"/>
              </w:rPr>
              <w:t xml:space="preserve">Stage 2B</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MRE (mm)</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9"/>
                <w:szCs w:val="19"/>
              </w:rPr>
              <w:t xml:space="preserve">&lt; 2.0mm</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Mean Radial Error: average distance in mm between predicted and ground-truth landmark peak.</w:t>
            </w:r>
          </w:p>
        </w:tc>
      </w:tr>
      <w:tr>
        <w:tc>
          <w:tcPr>
            <w:tcW w:type="dxa" w:w="144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bCs/>
                <w:i w:val="false"/>
                <w:iCs w:val="false"/>
                <w:color w:val="6C3483"/>
                <w:sz w:val="19"/>
                <w:szCs w:val="19"/>
              </w:rPr>
              <w:t xml:space="preserve">Stage 2B</w:t>
            </w:r>
          </w:p>
        </w:tc>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SDR@2mm</w:t>
            </w:r>
          </w:p>
        </w:tc>
        <w:tc>
          <w:tcPr>
            <w:tcW w:type="dxa" w:w="21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9"/>
                <w:szCs w:val="19"/>
              </w:rPr>
              <w:t xml:space="preserve">≥ 80%</w:t>
            </w:r>
          </w:p>
        </w:tc>
        <w:tc>
          <w:tcPr>
            <w:tcW w:type="dxa" w:w="360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Successful Detection Rate: % of landmarks predicted within 2mm of ground truth.</w:t>
            </w:r>
          </w:p>
        </w:tc>
      </w:tr>
    </w:tbl>
    <w:p>
      <w:pPr>
        <w:spacing w:after="120" w:before="200"/>
      </w:pPr>
    </w:p>
    <w:p>
      <w:pPr>
        <w:pStyle w:val="Heading2"/>
        <w:pBdr>
          <w:bottom w:val="single" w:color="2E75B6" w:sz="4" w:space="4"/>
        </w:pBdr>
        <w:spacing w:after="120" w:before="300"/>
      </w:pPr>
      <w:r>
        <w:rPr>
          <w:rFonts w:ascii="Arial" w:cs="Arial" w:eastAsia="Arial" w:hAnsi="Arial"/>
          <w:b/>
          <w:bCs/>
          <w:color w:val="2E75B6"/>
          <w:sz w:val="26"/>
          <w:szCs w:val="26"/>
        </w:rPr>
        <w:t xml:space="preserve">10. Known Dataset Limitations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880"/>
        <w:gridCol w:w="3120"/>
      </w:tblGrid>
      <w:tr>
        <w:tc>
          <w:tcPr>
            <w:tcW w:type="dxa" w:w="336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Limitation</w:t>
            </w:r>
          </w:p>
        </w:tc>
        <w:tc>
          <w:tcPr>
            <w:tcW w:type="dxa" w:w="288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Impact</w:t>
            </w:r>
          </w:p>
        </w:tc>
        <w:tc>
          <w:tcPr>
            <w:tcW w:type="dxa" w:w="3120"/>
            <w:gridSpan w:val="1"/>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Mitigation</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Disease subset only labels diseased teeth — no explicit healthy tooth annotations</w:t>
            </w:r>
          </w:p>
        </w:tc>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Stage 2A healthy class is derived indirectly from unannotated images</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E8449"/>
                <w:sz w:val="19"/>
                <w:szCs w:val="19"/>
              </w:rPr>
              <w:t xml:space="preserve">Pseudo-labelling from Stage 1 detections in future iteration</w:t>
            </w:r>
          </w:p>
        </w:tc>
      </w:tr>
      <w:tr>
        <w:tc>
          <w:tcPr>
            <w:tcW w:type="dxa" w:w="33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No segmentation masks — only bounding boxes</w:t>
            </w:r>
          </w:p>
        </w:tc>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Cannot use YOLOv8-seg; switched to YOLOv8 detection model</w:t>
            </w:r>
          </w:p>
        </w:tc>
        <w:tc>
          <w:tcPr>
            <w:tcW w:type="dxa" w:w="312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E8449"/>
                <w:sz w:val="19"/>
                <w:szCs w:val="19"/>
              </w:rPr>
              <w:t xml:space="preserve">Bbox-based detection is sufficient for tooth localisation and crop extraction</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No sinus floor or nerve canal annotations in DENTEX</w:t>
            </w:r>
          </w:p>
        </w:tc>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Stage 2B cannot use DENTEX data at all</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E8449"/>
                <w:sz w:val="19"/>
                <w:szCs w:val="19"/>
              </w:rPr>
              <w:t xml:space="preserve">Client must provide annotated OPGs (minimum 200 images)</w:t>
            </w:r>
          </w:p>
        </w:tc>
      </w:tr>
      <w:tr>
        <w:tc>
          <w:tcPr>
            <w:tcW w:type="dxa" w:w="33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Validation data (50 images) has no public ground truth</w:t>
            </w:r>
          </w:p>
        </w:tc>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Cannot compute metrics on the official validation set</w:t>
            </w:r>
          </w:p>
        </w:tc>
        <w:tc>
          <w:tcPr>
            <w:tcW w:type="dxa" w:w="312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E8449"/>
                <w:sz w:val="19"/>
                <w:szCs w:val="19"/>
              </w:rPr>
              <w:t xml:space="preserve">Using 10% of training data as held-out test set instead</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Dataset does not include crown or RCT labels</w:t>
            </w:r>
          </w:p>
        </w:tc>
        <w:tc>
          <w:tcPr>
            <w:tcW w:type="dxa" w:w="2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Stage 2A cannot train crown / RCT classes from DENTEX alone</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E8449"/>
                <w:sz w:val="19"/>
                <w:szCs w:val="19"/>
              </w:rPr>
              <w:t xml:space="preserve">Client to provide additional annotated cases or existing patient records</w:t>
            </w:r>
          </w:p>
        </w:tc>
      </w:tr>
      <w:tr>
        <w:tc>
          <w:tcPr>
            <w:tcW w:type="dxa" w:w="336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Cervical burnout not represented as a class</w:t>
            </w:r>
          </w:p>
        </w:tc>
        <w:tc>
          <w:tcPr>
            <w:tcW w:type="dxa" w:w="288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Stage 2A may produce false-positive caries predictions</w:t>
            </w:r>
          </w:p>
        </w:tc>
        <w:tc>
          <w:tcPr>
            <w:tcW w:type="dxa" w:w="3120"/>
            <w:gridSpan w:val="1"/>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E8449"/>
                <w:sz w:val="19"/>
                <w:szCs w:val="19"/>
              </w:rPr>
              <w:t xml:space="preserve">Client to provide false-positive samples for hard-negative mining</w:t>
            </w:r>
          </w:p>
        </w:tc>
      </w:tr>
    </w:tbl>
    <w:p>
      <w:pPr>
        <w:spacing w:after="120" w:before="200"/>
      </w:pPr>
    </w:p>
    <w:p>
      <w:pPr>
        <w:pBdr>
          <w:bottom w:val="single" w:color="CCCCCC" w:sz="2" w:space="1"/>
        </w:pBdr>
        <w:spacing w:after="160" w:before="160"/>
      </w:pPr>
    </w:p>
    <w:p>
      <w:pPr>
        <w:spacing w:after="40" w:before="120"/>
        <w:jc w:val="center"/>
      </w:pPr>
      <w:r>
        <w:rPr>
          <w:rFonts w:ascii="Arial" w:cs="Arial" w:eastAsia="Arial" w:hAnsi="Arial"/>
          <w:b/>
          <w:bCs/>
          <w:color w:val="1B4F8A"/>
          <w:sz w:val="19"/>
          <w:szCs w:val="19"/>
        </w:rPr>
        <w:t xml:space="preserve">EbusinessPal Sdn. Bhd.  |  Medical AI Development</w:t>
      </w:r>
    </w:p>
    <w:p>
      <w:pPr>
        <w:spacing w:before="0"/>
        <w:jc w:val="center"/>
      </w:pPr>
      <w:r>
        <w:rPr>
          <w:rFonts w:ascii="Arial" w:cs="Arial" w:eastAsia="Arial" w:hAnsi="Arial"/>
          <w:i/>
          <w:iCs/>
          <w:color w:val="555555"/>
          <w:sz w:val="16"/>
          <w:szCs w:val="16"/>
        </w:rPr>
        <w:t xml:space="preserve">This document is confidential and intended solely for the named recipient.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pPr>
    <w:r>
      <w:rPr>
        <w:rFonts w:ascii="Arial" w:cs="Arial" w:eastAsia="Arial" w:hAnsi="Arial"/>
        <w:color w:val="555555"/>
        <w:sz w:val="16"/>
        <w:szCs w:val="16"/>
      </w:rPr>
      <w:t xml:space="preserve">EbusinessPal Sdn. Bhd.  |  Confidential</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jc w:val="right"/>
    </w:pPr>
    <w:r>
      <w:rPr>
        <w:rFonts w:ascii="Arial" w:cs="Arial" w:eastAsia="Arial" w:hAnsi="Arial"/>
        <w:color w:val="555555"/>
        <w:sz w:val="17"/>
        <w:szCs w:val="17"/>
      </w:rPr>
      <w:t xml:space="preserve">Dental AI Detection System  —  </w:t>
    </w:r>
    <w:r>
      <w:rPr>
        <w:rFonts w:ascii="Arial" w:cs="Arial" w:eastAsia="Arial" w:hAnsi="Arial"/>
        <w:b/>
        <w:bCs/>
        <w:color w:val="1B4F8A"/>
        <w:sz w:val="17"/>
        <w:szCs w:val="17"/>
      </w:rPr>
      <w:t xml:space="preserve">Dataset Breakdown &amp; Training Approach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2026-06-27T13:34:33.635Z</dcterms:created>
  <dcterms:modified xsi:type="dcterms:W3CDTF">2026-06-27T13:34:33.637Z</dcterms:modified>
</cp:coreProperties>
</file>

<file path=docProps/custom.xml><?xml version="1.0" encoding="utf-8"?>
<Properties xmlns="http://schemas.openxmlformats.org/officeDocument/2006/custom-properties" xmlns:vt="http://schemas.openxmlformats.org/officeDocument/2006/docPropsVTypes"/>
</file>