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3864"/>
          <w:sz w:val="56"/>
          <w:szCs w:val="56"/>
        </w:rPr>
        <w:t xml:space="preserve">Pixelence QMS</w:t>
      </w:r>
    </w:p>
    <w:p>
      <w:pPr>
        <w:spacing w:after="120"/>
      </w:pPr>
      <w:r>
        <w:rPr>
          <w:color w:val="444444"/>
          <w:sz w:val="32"/>
          <w:szCs w:val="32"/>
        </w:rPr>
        <w:t xml:space="preserve">Development Services Line Items and Phase 1 Proposal</w:t>
      </w:r>
    </w:p>
    <w:p>
      <w:pPr>
        <w:spacing w:after="120"/>
      </w:pPr>
      <w:r>
        <w:t xml:space="preserve">Prepared for: Pixelence</w:t>
      </w:r>
    </w:p>
    <w:p>
      <w:pPr>
        <w:spacing w:after="120"/>
      </w:pPr>
      <w:r>
        <w:t xml:space="preserve">Basis: QMS Functional Specifications v1.2 and QMS Software Development Specification v0.1</w:t>
      </w:r>
    </w:p>
    <w:p>
      <w:pPr>
        <w:spacing w:after="120"/>
      </w:pPr>
      <w:r>
        <w:t xml:space="preserve">Rate: RM 80 per hour. All amounts exclude SST unless stated.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Pixelence QMS is a web-based Quality Management System for Software as a Medical Device, covering ISO 13485, ISO 14971, IEC 62304, FDA 21 CFR Part 820/11 and EU MDR. The full specification totals 2,895 hours (RM 231,600 before SST). To fit the RM 40,000 budget, we propose a fixed-price Phase 1 covering the compliance foundation and document control, with the remaining modules delivered in later phases.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(RM)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scope (62 line items, incl. 10% PM)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2,895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231,600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(fixed price, excl. SST)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40,000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SST 8% on Phase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3,200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1 total incl. SST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43,200</w:t>
            </w:r>
          </w:p>
        </w:tc>
      </w:tr>
    </w:tbl>
    <w:p/>
    <w:p>
      <w:pPr>
        <w:pStyle w:val="Heading1"/>
      </w:pPr>
      <w:r>
        <w:t xml:space="preserve">2. Phase 1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#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Monorepo setup, isolated Next.js QMS app, CI/CD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Convex schema, indexes, validators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Authentication, RBAC, IdP/SSO and MFA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QMS portal shell and design system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signature engine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ESignatureModal UI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Immutable audit trail helper and write-mutation wrapping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lifecycle backend and versioning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UI (list, detail, review/approval, history)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subtotal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management (10%)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Phase 1 total hours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475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 pricing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(RM)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475 hours at RM 80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38,000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Reserve for basic testing and handover (about 25 hours)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fixed price (excl. SST)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40,000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SST 8%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3,200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incl. SST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43,200</w:t>
            </w:r>
          </w:p>
        </w:tc>
      </w:tr>
    </w:tbl>
    <w:p/>
    <w:p>
      <w:pPr>
        <w:pStyle w:val="Heading2"/>
      </w:pPr>
      <w:r>
        <w:t xml:space="preserve">Assumptions and exclusions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RM 40,000 is treated as excluding SST.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Hours assume no reuse of existing code in the repository. If part of Phase 1 is already built, the scope can be extended within the same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includes basic testing only. Full IQ/OQ/PQ validation is part of a later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Excluded: hosting, LLM usage, third-party licences, regulatory consulting, and external audit or notified-body fees.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v0.1 document lists NestJS, PostgreSQL and Temporal; the newer v1.2 specification uses Convex. Estimates follow v1.2.</w:t>
      </w:r>
    </w:p>
    <w:p>
      <w:r>
        <w:br w:type="page"/>
      </w:r>
    </w:p>
    <w:p>
      <w:pPr>
        <w:pStyle w:val="Heading1"/>
      </w:pPr>
      <w:r>
        <w:t xml:space="preserve">3. Full Scope Line Items</w:t>
      </w:r>
    </w:p>
    <w:p>
      <w:pPr>
        <w:spacing w:after="120"/>
      </w:pPr>
      <w:r>
        <w:t xml:space="preserve">Estimated hours for the complete specification, grouped by module. Item numbers match those used in Phase 1.</w:t>
      </w:r>
    </w:p>
    <w:p>
      <w:pPr>
        <w:pStyle w:val="Heading2"/>
      </w:pPr>
      <w:r>
        <w:t xml:space="preserve">Project Foundation &amp;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Discovery, requirements baseline &amp; project plan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 §1, §9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Monorepo setup (Turborepo), isolated Next.js QMS app (port 3002), CI/CD pipeline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§2, §9 Ph.1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Convex schema: 18 tables, indexes, validators, migrations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Authentication, RBAC (super-admin, manager, director, auditor, staff), IdP/SSO and MFA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§3; FR-001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QMS portal shell: layout, navigation, responsive design system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API gateway extensions (PDF, email, e-sign verify endpoints)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§2.1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280</w:t>
            </w:r>
          </w:p>
        </w:tc>
      </w:tr>
    </w:tbl>
    <w:p/>
    <w:p>
      <w:pPr>
        <w:pStyle w:val="Heading2"/>
      </w:pPr>
      <w:r>
        <w:t xml:space="preserve">Compliance Core (21 CFR Part 11 / Annex 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Electronic signature engine (re-auth, bcrypt verify, HMAC-SHA256, signature records)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§5.1; FR-002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ESignatureModal UI with signature meaning and metadata display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Immutable audit trail: writeAuditLog helper, wrapping all write mutations, append-only enforcement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§5.2; FR-003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trail viewer UI (search, filter, export)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§5.2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 service (SMTP/SendGrid email, in-app alerts)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Convex Scheduler workflows (review reminders, CAPA timers, escalations)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§6; Ph.3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232</w:t>
            </w:r>
          </w:p>
        </w:tc>
      </w:tr>
    </w:tbl>
    <w:p/>
    <w:p>
      <w:pPr>
        <w:pStyle w:val="Heading2"/>
      </w:pPr>
      <w:r>
        <w:t xml:space="preserve">Document &amp; Change Control (DCC)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lifecycle backend (draft, in-review, awaiting approval, effective, archived, obsolete) and versioning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§4.1; FR-004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request module linked to risks, requirements and releases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Controlled PDF rendition (watermark, version stamp, signature block) and file storage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UI: list, detail, review/approval flow, version history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Periodic review tracking and reminders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§4.1, §4.11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216</w:t>
            </w:r>
          </w:p>
        </w:tc>
      </w:tr>
    </w:tbl>
    <w:p/>
    <w:p>
      <w:pPr>
        <w:pStyle w:val="Heading2"/>
      </w:pPr>
      <w:r>
        <w:t xml:space="preserve">Training Management (TM)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programs and role-based curricula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Quiz/assessment engine with configurable passing score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records, status state machine, auto-retraining on new SOP version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Clinical portal gating (block critical actions on lapsed training)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§4.2, §9 Ph.3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144</w:t>
            </w:r>
          </w:p>
        </w:tc>
      </w:tr>
    </w:tbl>
    <w:p/>
    <w:p>
      <w:pPr>
        <w:pStyle w:val="Heading2"/>
      </w:pPr>
      <w:r>
        <w:t xml:space="preserve">Requirements &amp; Traceability (RT)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 registry and hierarchy (PRD, SRS, specs, tests)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Bi-directional trace links, traceability matrix and orphan detection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GitHub/GitLab integration (commit/PR linking)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§4.3, §8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Traceability matrix/graph UI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§9 Ph.4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200</w:t>
            </w:r>
          </w:p>
        </w:tc>
      </w:tr>
    </w:tbl>
    <w:p/>
    <w:p>
      <w:pPr>
        <w:pStyle w:val="Heading2"/>
      </w:pPr>
      <w:r>
        <w:t xml:space="preserve">Risk Management (ISO 14971)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Hazard register and FMEA scoring (S/P/D, RPN)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§4.4; FR-006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Mitigation linkage to SRS and tests; residual risk computation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UI with FMEA calculator and risk matrix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§9 Ph.4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112</w:t>
            </w:r>
          </w:p>
        </w:tc>
      </w:tr>
    </w:tbl>
    <w:p/>
    <w:p>
      <w:pPr>
        <w:pStyle w:val="Heading2"/>
      </w:pPr>
      <w:r>
        <w:t xml:space="preserve">Design &amp; Development Control (Digital DHF)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DHF projects and phase management (planning to design transfer)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§4.5; FR-007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DHF items (inputs, outputs, V&amp;V) with linkage and status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review multi-user sign-offs and phase locking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DHF UI and package export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176</w:t>
            </w:r>
          </w:p>
        </w:tc>
      </w:tr>
    </w:tbl>
    <w:p/>
    <w:p>
      <w:pPr>
        <w:pStyle w:val="Heading2"/>
      </w:pPr>
      <w:r>
        <w:t xml:space="preserve">CAPA &amp; Nonconformance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Nonconformance capture and containment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 workflow with action items (initiation to closure)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§4.6; FR-008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cause tooling (5 Whys, Ishikawa diagram)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Effectiveness verification via scheduler (e.g. 60 days) and sign-off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§6.2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 UI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§9 Ph.4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184</w:t>
            </w:r>
          </w:p>
        </w:tc>
      </w:tr>
    </w:tbl>
    <w:p/>
    <w:p>
      <w:pPr>
        <w:pStyle w:val="Heading2"/>
      </w:pPr>
      <w:r>
        <w:t xml:space="preserve">Supplier Quality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Supplier registry, criticality and Approved Supplier List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§4.7; FR-009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 workflow with vendor-facing upload portal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Periodic supplier review, scoring and certificate expiry alerts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FR-009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112</w:t>
            </w:r>
          </w:p>
        </w:tc>
      </w:tr>
    </w:tbl>
    <w:p/>
    <w:p>
      <w:pPr>
        <w:pStyle w:val="Heading2"/>
      </w:pPr>
      <w:r>
        <w:t xml:space="preserve">Complaint Handling &amp; PMS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Complaint intake and 'Report Inaccuracy' loop from clinical portal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§4.8; FR-010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MDR/Vigilance decision tree with 15/30-day deadline tracking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PMS trend analysis and complaint-to-CAPA linkage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120</w:t>
            </w:r>
          </w:p>
        </w:tc>
      </w:tr>
    </w:tbl>
    <w:p/>
    <w:p>
      <w:pPr>
        <w:pStyle w:val="Heading2"/>
      </w:pPr>
      <w:r>
        <w:t xml:space="preserve">Audits &amp; Management 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scheduling, checklists and auditor assignment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Findings registry with auto-CAPA for major findings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§4.9; FR-011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Management review: agenda, minutes, follow-up actions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104</w:t>
            </w:r>
          </w:p>
        </w:tc>
      </w:tr>
    </w:tbl>
    <w:p/>
    <w:p>
      <w:pPr>
        <w:pStyle w:val="Heading2"/>
      </w:pPr>
      <w:r>
        <w:t xml:space="preserve">AI Copilot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gateway (Vertex AI/OpenAI), prompt guardrails, usage logging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§4.10; ISO 42001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SOP draft generator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§4.10; FR-013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assessment helper (hazard suggestions)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Traceability auditor (gap analysis)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144</w:t>
            </w:r>
          </w:p>
        </w:tc>
      </w:tr>
    </w:tbl>
    <w:p/>
    <w:p>
      <w:pPr>
        <w:pStyle w:val="Heading2"/>
      </w:pPr>
      <w:r>
        <w:t xml:space="preserve">Reporting, Dashboard &amp;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 dashboard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matrix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Executive review dashboard (KPIs, training compliance, audits, complaints)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§4.11; FR-012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 §4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Administration (users, roles, configuration)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 §4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152</w:t>
            </w:r>
          </w:p>
        </w:tc>
      </w:tr>
    </w:tbl>
    <w:p/>
    <w:p>
      <w:pPr>
        <w:pStyle w:val="Heading2"/>
      </w:pPr>
      <w:r>
        <w:t xml:space="preserve">Verification, Validation &amp;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 ref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testing (unit, integration, E2E) per module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 §10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system validation documentation (IQ/OQ/PQ, IEC 62304 and Part 11 evidence)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§1.1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and penetration testing, encryption review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seeding and migration of existing quality records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 support and defect remediation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UAT-Test-Plan.md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deployment, monitoring, hardening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 99.9%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documentation and training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456</w:t>
            </w:r>
          </w:p>
        </w:tc>
      </w:tr>
    </w:tbl>
    <w:p/>
    <w:p>
      <w:pPr>
        <w:pStyle w:val="Heading1"/>
      </w:pPr>
      <w:r>
        <w:t xml:space="preserve">4. Full Scope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subtotal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2,632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management and QA oversight (10%)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263</w:t>
            </w:r>
          </w:p>
        </w:tc>
      </w:tr>
      <w:tr>
        <w:trPr>
          <w:tblHeader w:val="false"/>
        </w:trPr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2,895</w:t>
            </w:r>
          </w:p>
        </w:tc>
      </w:tr>
    </w:tbl>
    <w:p>
      <w:pPr>
        <w:spacing w:after="120" w:before="120"/>
      </w:pPr>
      <w:r>
        <w:t xml:space="preserve">At RM 80 per hour: RM 231,600 before SST, RM 18,528 SST, RM 250,128 in total.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Pixelence QMS -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2026-10-01T07:39:01.160Z</dcterms:created>
  <dcterms:modified xsi:type="dcterms:W3CDTF">2026-10-01T07:39:01.160Z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