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C8F3F"/>
        </w:rPr>
        <w:t>TNB ICOMS 2.0 — UAT Test Script</w:t>
      </w:r>
    </w:p>
    <w:p>
      <w:r>
        <w:rPr>
          <w:b/>
          <w:sz w:val="22"/>
        </w:rPr>
        <w:t>Case ID: UAT-11-06-001    |    Reference: HO-19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6406"/>
          </w:tcPr>
          <w:p>
            <w:r>
              <w:t>11 — Shift Handover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6406"/>
          </w:tcPr>
          <w:p>
            <w:r>
              <w:t>06 — Role-Based Access &amp; Edge Cases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Test Case Title</w:t>
            </w:r>
          </w:p>
        </w:tc>
        <w:tc>
          <w:tcPr>
            <w:tcW w:type="dxa" w:w="6406"/>
          </w:tcPr>
          <w:p>
            <w:r>
              <w:t>Cross-zone isolation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6406"/>
          </w:tcPr>
          <w:p>
            <w:r>
              <w:t>High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Application View(s)</w:t>
            </w:r>
          </w:p>
        </w:tc>
        <w:tc>
          <w:tcPr>
            <w:tcW w:type="dxa" w:w="6406"/>
          </w:tcPr>
          <w:p>
            <w:r>
              <w:t>Shift Handover (/handover)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API Reference</w:t>
            </w:r>
          </w:p>
        </w:tc>
        <w:tc>
          <w:tcPr>
            <w:tcW w:type="dxa" w:w="6406"/>
          </w:tcPr>
          <w:p>
            <w:r>
              <w:t>GET /api/handover/categories, GET /api/handover/shift, GET /api/handover/shifts, PUT /api/handover/shifts/{id}/control, POST /api/handover/shifts/{id}/entries, DELETE /api/handover/entries/{id}, POST /api/handover/shifts/{id}/pass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Preconditions</w:t>
      </w:r>
    </w:p>
    <w:p>
      <w:pPr>
        <w:pStyle w:val="ListBullet"/>
      </w:pPr>
      <w:r>
        <w:t>Logged in as a user with a Zone assigned (authService.currentUser().zoneId); users without a zone cannot use this page (see HO-01).</w:t>
      </w:r>
    </w:p>
    <w:p>
      <w:pPr>
        <w:pStyle w:val="ListBullet"/>
      </w:pPr>
      <w:r>
        <w:t>Authorisation Personnel reference data seeded and active, for the Control Team roles.</w:t>
      </w:r>
    </w:p>
    <w:p>
      <w:pPr>
        <w:pStyle w:val="ListBullet"/>
      </w:pPr>
      <w:r>
        <w:t>Three shift types exist: Morning, Evening, Night — a 3-shift logbook per day per zone.</w:t>
      </w:r>
    </w:p>
    <w:p>
      <w:pPr>
        <w:pStyle w:val="Heading2"/>
      </w:pPr>
      <w:r>
        <w:rPr>
          <w:color w:val="374151"/>
          <w:sz w:val="24"/>
        </w:rPr>
        <w:t>Test Steps</w:t>
      </w:r>
    </w:p>
    <w:p>
      <w:r>
        <w:t>As a user in Zone A, verify no way exists (via URL manipulation or otherwise) to view or edit Zone B's handover shift.</w:t>
      </w:r>
    </w:p>
    <w:p>
      <w:pPr>
        <w:pStyle w:val="Heading2"/>
      </w:pPr>
      <w:r>
        <w:rPr>
          <w:color w:val="374151"/>
          <w:sz w:val="24"/>
        </w:rPr>
        <w:t>Expected Result / Success Criteria</w:t>
      </w:r>
    </w:p>
    <w:p>
      <w:r>
        <w:t>All handover endpoints are scoped by the caller's own zoneId; attempting to pass a different zone's ID (if the API allows a zoneId query param override) should be rejected or ignored server-side. Action for UAT: flag as a defect if zoneId is trusted from client input without server-side validation against the authenticated user's assigned zone.</w:t>
      </w:r>
    </w:p>
    <w:p/>
    <w:p>
      <w:pPr>
        <w:pStyle w:val="Heading2"/>
      </w:pPr>
      <w:r>
        <w:rPr>
          <w:color w:val="374151"/>
          <w:sz w:val="24"/>
        </w:rPr>
        <w:t>UAT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</w:tcPr>
          <w:p>
            <w:r>
              <w:rPr>
                <w:b/>
              </w:rPr>
              <w:t>Tested By (Name):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Designation / Department: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Date Tested: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Result:</w:t>
            </w:r>
          </w:p>
        </w:tc>
        <w:tc>
          <w:tcPr>
            <w:tcW w:type="dxa" w:w="5669"/>
          </w:tcPr>
          <w:p>
            <w:r>
              <w:t>☐ Pass      ☐ Fail      ☐ Blocked / Not Tested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Comments / Defects Raised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</w:tcPr>
          <w:p>
            <w:r>
              <w:rPr>
                <w:b/>
              </w:rPr>
              <w:t>TNB UAT Approver (Name &amp; Signature):</w:t>
            </w:r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Approval Date:</w:t>
            </w:r>
          </w:p>
        </w:tc>
        <w:tc>
          <w:tcPr>
            <w:tcW w:type="dxa" w:w="4535"/>
          </w:tcPr>
          <w:p>
            <w:r/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CA3AF"/>
        <w:sz w:val="16"/>
      </w:rPr>
      <w:t>TNB ICOMS 2.0 UAT  |  UAT-11-06-001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