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UAT-13-01-003    |    Reference: CM-03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memo — Commissioning / Decommissioning type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Look up a valid Outage.</w:t>
      </w:r>
    </w:p>
    <w:p>
      <w:pPr>
        <w:pStyle w:val="ListNumber"/>
      </w:pPr>
      <w:r>
        <w:t>Select Memo Type = Commissioning (or Decommissioning).</w:t>
      </w:r>
    </w:p>
    <w:p>
      <w:pPr>
        <w:pStyle w:val="ListNumber"/>
      </w:pPr>
      <w:r>
        <w:t>Enter Switching Program.</w:t>
      </w:r>
    </w:p>
    <w:p>
      <w:pPr>
        <w:pStyle w:val="ListNumber"/>
      </w:pPr>
      <w:r>
        <w:t>Enter Data Form.</w:t>
      </w:r>
    </w:p>
    <w:p>
      <w:pPr>
        <w:pStyle w:val="ListNumber"/>
      </w:pPr>
      <w:r>
        <w:t>Check applicable Commissioning Requirement Documents (IOM Endorsed, MTEP Protection Letter, Resident Engineer Certification, Form G, Form H, Metering Email Chain, SCADA Email Chain, HGSO Letter).</w:t>
      </w:r>
    </w:p>
    <w:p>
      <w:pPr>
        <w:pStyle w:val="ListNumber"/>
      </w:pPr>
      <w:r>
        <w:t>Click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api/commissioning-memos succeeds; new memo created with status PendingEngineerPic; appears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