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UAT-02-01-002    |    Reference: NAV-02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02 — Navigation Shell (Sidebar, Header, Route Guard)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General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Dashboard item is disabled (known gap)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shared/layout/shell, shared/layout/sidebar, shared/layout/header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with a role that has visibility of multiple modules (Admin recommended for full-coverage pass).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pPr>
        <w:pStyle w:val="ListNumber"/>
      </w:pPr>
      <w:r>
        <w:t>Click the Dashboard sidebar item.</w:t>
      </w:r>
    </w:p>
    <w:p>
      <w:pPr>
        <w:pStyle w:val="ListNumber"/>
      </w:pPr>
      <w:r>
        <w:t>Expected Result (current behaviour): Item is disabled and does not navigate anywhere (no route implemented). Action for UAT: confirm whether Dashboard is in scope for this cycle.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N/A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UAT-02-01-002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