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80"/>
        <w:jc w:val="center"/>
      </w:pPr>
      <w:r>
        <w:rPr>
          <w:rFonts w:ascii="Arial" w:cs="Arial" w:eastAsia="Arial" w:hAnsi="Arial"/>
          <w:b/>
          <w:bCs/>
          <w:color w:val="1A56DB"/>
          <w:sz w:val="72"/>
          <w:szCs w:val="72"/>
        </w:rPr>
        <w:t xml:space="preserve">PATHFINDR</w:t>
      </w:r>
    </w:p>
    <w:p>
      <w:pPr>
        <w:spacing w:before="0" w:after="200"/>
        <w:jc w:val="center"/>
      </w:pPr>
      <w:r>
        <w:rPr>
          <w:rFonts w:ascii="Arial" w:cs="Arial" w:eastAsia="Arial" w:hAnsi="Arial"/>
          <w:color w:val="1E2A4A"/>
          <w:sz w:val="32"/>
          <w:szCs w:val="32"/>
        </w:rPr>
        <w:t xml:space="preserve">Student Opportunity Platform</w:t>
      </w:r>
    </w:p>
    <w:p>
      <w:pPr>
        <w:pBdr>
          <w:top w:val="single" w:color="F0A500" w:sz="6"/>
          <w:bottom w:val="single" w:color="F0A500" w:sz="6"/>
        </w:pBdr>
        <w:shd w:fill="1E2A4A" w:val="clear"/>
        <w:spacing w:before="200" w:after="200"/>
        <w:jc w:val="center"/>
      </w:pPr>
      <w:r>
        <w:rPr>
          <w:rFonts w:ascii="Arial" w:cs="Arial" w:eastAsia="Arial" w:hAnsi="Arial"/>
          <w:b/>
          <w:bCs/>
          <w:color w:val="FFFFFF"/>
          <w:sz w:val="28"/>
          <w:szCs w:val="28"/>
        </w:rPr>
        <w:t xml:space="preserve">SYSTEM FUNCTIONAL REQUIREMENTS SPECIFICATION</w:t>
      </w:r>
    </w:p>
    <w:p>
      <w:pPr>
        <w:spacing w:before="240" w:after="80"/>
        <w:jc w:val="center"/>
      </w:pPr>
      <w:r>
        <w:rPr>
          <w:rFonts w:ascii="Arial" w:cs="Arial" w:eastAsia="Arial" w:hAnsi="Arial"/>
          <w:b/>
          <w:bCs/>
          <w:color w:val="1A56DB"/>
          <w:sz w:val="22"/>
          <w:szCs w:val="22"/>
        </w:rPr>
        <w:t xml:space="preserve">React JS (Web) + React Native (Mobile)</w:t>
      </w:r>
    </w:p>
    <w:p>
      <w:pPr>
        <w:spacing w:before="80" w:after="8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b/>
                <w:bCs/>
                <w:color w:val="1E2A4A"/>
                <w:sz w:val="18"/>
                <w:szCs w:val="18"/>
              </w:rPr>
              <w:t xml:space="preserve">Document Reference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PATHFINDR-SFR-v1.0</w:t>
            </w:r>
          </w:p>
        </w:tc>
      </w:tr>
      <w:tr>
        <w:tc>
          <w:tcPr>
            <w:tcW w:type="dxa" w:w="252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b/>
                <w:bCs/>
                <w:color w:val="1E2A4A"/>
                <w:sz w:val="18"/>
                <w:szCs w:val="18"/>
              </w:rPr>
              <w:t xml:space="preserve">Version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1.0</w:t>
            </w:r>
          </w:p>
        </w:tc>
      </w:tr>
      <w:tr>
        <w:tc>
          <w:tcPr>
            <w:tcW w:type="dxa" w:w="252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b/>
                <w:bCs/>
                <w:color w:val="1E2A4A"/>
                <w:sz w:val="18"/>
                <w:szCs w:val="18"/>
              </w:rPr>
              <w:t xml:space="preserve">Status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Draft</w:t>
            </w:r>
          </w:p>
        </w:tc>
      </w:tr>
      <w:tr>
        <w:tc>
          <w:tcPr>
            <w:tcW w:type="dxa" w:w="252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b/>
                <w:bCs/>
                <w:color w:val="1E2A4A"/>
                <w:sz w:val="18"/>
                <w:szCs w:val="18"/>
              </w:rPr>
              <w:t xml:space="preserve">Prepared For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Pathfindr Development Team</w:t>
            </w:r>
          </w:p>
        </w:tc>
      </w:tr>
      <w:tr>
        <w:tc>
          <w:tcPr>
            <w:tcW w:type="dxa" w:w="252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b/>
                <w:bCs/>
                <w:color w:val="1E2A4A"/>
                <w:sz w:val="18"/>
                <w:szCs w:val="18"/>
              </w:rPr>
              <w:t xml:space="preserve">Platform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Web (React JS) + Mobile (React Native)</w:t>
            </w:r>
          </w:p>
        </w:tc>
      </w:tr>
      <w:tr>
        <w:tc>
          <w:tcPr>
            <w:tcW w:type="dxa" w:w="252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b/>
                <w:bCs/>
                <w:color w:val="1E2A4A"/>
                <w:sz w:val="18"/>
                <w:szCs w:val="18"/>
              </w:rPr>
              <w:t xml:space="preserve">Date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March 2026</w:t>
            </w:r>
          </w:p>
        </w:tc>
      </w:tr>
      <w:tr>
        <w:tc>
          <w:tcPr>
            <w:tcW w:type="dxa" w:w="2520"/>
            <w:tcBorders>
              <w:top w:val="single" w:color="CCCCCC" w:sz="1"/>
              <w:left w:val="single" w:color="CCCCCC" w:sz="1"/>
              <w:bottom w:val="single" w:color="CCCCCC" w:sz="1"/>
              <w:right w:val="single" w:color="CCCCCC" w:sz="1"/>
            </w:tcBorders>
            <w:shd w:fill="EBF2FF" w:val="clear"/>
            <w:tcMar>
              <w:top w:type="dxa" w:w="80"/>
              <w:left w:type="dxa" w:w="120"/>
              <w:bottom w:type="dxa" w:w="80"/>
              <w:right w:type="dxa" w:w="120"/>
            </w:tcMar>
          </w:tcPr>
          <w:p>
            <w:r>
              <w:rPr>
                <w:rFonts w:ascii="Arial" w:cs="Arial" w:eastAsia="Arial" w:hAnsi="Arial"/>
                <w:b/>
                <w:bCs/>
                <w:color w:val="1E2A4A"/>
                <w:sz w:val="18"/>
                <w:szCs w:val="18"/>
              </w:rPr>
              <w:t xml:space="preserve">Classification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Confidential</w:t>
            </w:r>
          </w:p>
        </w:tc>
      </w:tr>
    </w:tbl>
    <w:p>
      <w:r>
        <w:br w:type="page"/>
      </w:r>
    </w:p>
    <w:p>
      <w:pPr>
        <w:pStyle w:val="Heading1"/>
        <w:pBdr>
          <w:bottom w:val="single" w:color="F0A500" w:sz="4"/>
        </w:pBdr>
        <w:shd w:fill="1E2A4A" w:val="clear"/>
        <w:spacing w:before="360" w:after="160"/>
        <w:ind w:left="200" w:right="200"/>
      </w:pPr>
      <w:r>
        <w:rPr>
          <w:rFonts w:ascii="Arial" w:cs="Arial" w:eastAsia="Arial" w:hAnsi="Arial"/>
          <w:b/>
          <w:bCs/>
          <w:color w:val="FFFFFF"/>
          <w:sz w:val="30"/>
          <w:szCs w:val="30"/>
        </w:rPr>
        <w:t xml:space="preserve">1. Introduction &amp; Purpose</w:t>
      </w:r>
    </w:p>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1.1 Document Purpose</w:t>
      </w:r>
    </w:p>
    <w:p>
      <w:pPr>
        <w:spacing w:before="60" w:after="80"/>
      </w:pPr>
      <w:r>
        <w:rPr>
          <w:rFonts w:ascii="Arial" w:cs="Arial" w:eastAsia="Arial" w:hAnsi="Arial"/>
          <w:b w:val="false"/>
          <w:bCs w:val="false"/>
          <w:color w:val="555555"/>
          <w:sz w:val="20"/>
          <w:szCs w:val="20"/>
        </w:rPr>
        <w:t xml:space="preserve">This System Functional Requirements (SFR) document defines the complete functional specification for the Pathfindr platform — a centralised digital ecosystem connecting students with global scholarships, university programmes, internships, and job opportunities. The platform is to be built using React JS for the web application and React Native for the iOS and Android mobile applications, sharing a unified backend API.</w:t>
      </w:r>
    </w:p>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1.2 System Overview</w:t>
      </w:r>
    </w:p>
    <w:p>
      <w:pPr>
        <w:spacing w:before="60" w:after="80"/>
      </w:pPr>
      <w:r>
        <w:rPr>
          <w:rFonts w:ascii="Arial" w:cs="Arial" w:eastAsia="Arial" w:hAnsi="Arial"/>
          <w:b w:val="false"/>
          <w:bCs w:val="false"/>
          <w:color w:val="555555"/>
          <w:sz w:val="20"/>
          <w:szCs w:val="20"/>
        </w:rPr>
        <w:t xml:space="preserve">Pathfindr is envisioned as the LinkedIn + Scholarship Portal + University Admission Platform for students in Southeast Asia and beyond. The platform enables:</w:t>
      </w:r>
    </w:p>
    <w:p>
      <w:pPr>
        <w:pStyle w:val="ListParagraph"/>
        <w:numPr>
          <w:ilvl w:val="0"/>
          <w:numId w:val="2"/>
        </w:numPr>
        <w:spacing w:before="40" w:after="40"/>
      </w:pPr>
      <w:r>
        <w:rPr>
          <w:rFonts w:ascii="Arial" w:cs="Arial" w:eastAsia="Arial" w:hAnsi="Arial"/>
          <w:color w:val="555555"/>
          <w:sz w:val="20"/>
          <w:szCs w:val="20"/>
        </w:rPr>
        <w:t xml:space="preserve">Students to create verified academic and professional profiles</w:t>
      </w:r>
    </w:p>
    <w:p>
      <w:pPr>
        <w:pStyle w:val="ListParagraph"/>
        <w:numPr>
          <w:ilvl w:val="0"/>
          <w:numId w:val="2"/>
        </w:numPr>
        <w:spacing w:before="40" w:after="40"/>
      </w:pPr>
      <w:r>
        <w:rPr>
          <w:rFonts w:ascii="Arial" w:cs="Arial" w:eastAsia="Arial" w:hAnsi="Arial"/>
          <w:color w:val="555555"/>
          <w:sz w:val="20"/>
          <w:szCs w:val="20"/>
        </w:rPr>
        <w:t xml:space="preserve">Scholarship providers to reach eligible candidates automatically</w:t>
      </w:r>
    </w:p>
    <w:p>
      <w:pPr>
        <w:pStyle w:val="ListParagraph"/>
        <w:numPr>
          <w:ilvl w:val="0"/>
          <w:numId w:val="2"/>
        </w:numPr>
        <w:spacing w:before="40" w:after="40"/>
      </w:pPr>
      <w:r>
        <w:rPr>
          <w:rFonts w:ascii="Arial" w:cs="Arial" w:eastAsia="Arial" w:hAnsi="Arial"/>
          <w:color w:val="555555"/>
          <w:sz w:val="20"/>
          <w:szCs w:val="20"/>
        </w:rPr>
        <w:t xml:space="preserve">Universities to promote programmes and discover high-potential students</w:t>
      </w:r>
    </w:p>
    <w:p>
      <w:pPr>
        <w:pStyle w:val="ListParagraph"/>
        <w:numPr>
          <w:ilvl w:val="0"/>
          <w:numId w:val="2"/>
        </w:numPr>
        <w:spacing w:before="40" w:after="40"/>
      </w:pPr>
      <w:r>
        <w:rPr>
          <w:rFonts w:ascii="Arial" w:cs="Arial" w:eastAsia="Arial" w:hAnsi="Arial"/>
          <w:color w:val="555555"/>
          <w:sz w:val="20"/>
          <w:szCs w:val="20"/>
        </w:rPr>
        <w:t xml:space="preserve">Employers to identify early-career talent through a structured pipeline</w:t>
      </w:r>
    </w:p>
    <w:p>
      <w:pPr>
        <w:pStyle w:val="ListParagraph"/>
        <w:numPr>
          <w:ilvl w:val="0"/>
          <w:numId w:val="2"/>
        </w:numPr>
        <w:spacing w:before="40" w:after="40"/>
      </w:pPr>
      <w:r>
        <w:rPr>
          <w:rFonts w:ascii="Arial" w:cs="Arial" w:eastAsia="Arial" w:hAnsi="Arial"/>
          <w:color w:val="555555"/>
          <w:sz w:val="20"/>
          <w:szCs w:val="20"/>
        </w:rPr>
        <w:t xml:space="preserve">Philanthropists and organisations to create and manage personal scholarship funds</w:t>
      </w:r>
    </w:p>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1.3 Scope</w:t>
      </w:r>
    </w:p>
    <w:p>
      <w:pPr>
        <w:spacing w:before="60" w:after="80"/>
      </w:pPr>
      <w:r>
        <w:rPr>
          <w:rFonts w:ascii="Arial" w:cs="Arial" w:eastAsia="Arial" w:hAnsi="Arial"/>
          <w:b w:val="false"/>
          <w:bCs w:val="false"/>
          <w:color w:val="555555"/>
          <w:sz w:val="20"/>
          <w:szCs w:val="20"/>
        </w:rPr>
        <w:t xml:space="preserve">This document covers all functional requirements for:</w:t>
      </w:r>
    </w:p>
    <w:p>
      <w:pPr>
        <w:pStyle w:val="ListParagraph"/>
        <w:numPr>
          <w:ilvl w:val="0"/>
          <w:numId w:val="2"/>
        </w:numPr>
        <w:spacing w:before="40" w:after="40"/>
      </w:pPr>
      <w:r>
        <w:rPr>
          <w:rFonts w:ascii="Arial" w:cs="Arial" w:eastAsia="Arial" w:hAnsi="Arial"/>
          <w:color w:val="555555"/>
          <w:sz w:val="20"/>
          <w:szCs w:val="20"/>
        </w:rPr>
        <w:t xml:space="preserve">Web Application (React JS — desktop and tablet browsers)</w:t>
      </w:r>
    </w:p>
    <w:p>
      <w:pPr>
        <w:pStyle w:val="ListParagraph"/>
        <w:numPr>
          <w:ilvl w:val="0"/>
          <w:numId w:val="2"/>
        </w:numPr>
        <w:spacing w:before="40" w:after="40"/>
      </w:pPr>
      <w:r>
        <w:rPr>
          <w:rFonts w:ascii="Arial" w:cs="Arial" w:eastAsia="Arial" w:hAnsi="Arial"/>
          <w:color w:val="555555"/>
          <w:sz w:val="20"/>
          <w:szCs w:val="20"/>
        </w:rPr>
        <w:t xml:space="preserve">Mobile Application (React Native — iOS and Android)</w:t>
      </w:r>
    </w:p>
    <w:p>
      <w:pPr>
        <w:pStyle w:val="ListParagraph"/>
        <w:numPr>
          <w:ilvl w:val="0"/>
          <w:numId w:val="2"/>
        </w:numPr>
        <w:spacing w:before="40" w:after="40"/>
      </w:pPr>
      <w:r>
        <w:rPr>
          <w:rFonts w:ascii="Arial" w:cs="Arial" w:eastAsia="Arial" w:hAnsi="Arial"/>
          <w:color w:val="555555"/>
          <w:sz w:val="20"/>
          <w:szCs w:val="20"/>
        </w:rPr>
        <w:t xml:space="preserve">Shared Backend API (REST/GraphQL)</w:t>
      </w:r>
    </w:p>
    <w:p>
      <w:pPr>
        <w:pStyle w:val="ListParagraph"/>
        <w:numPr>
          <w:ilvl w:val="0"/>
          <w:numId w:val="2"/>
        </w:numPr>
        <w:spacing w:before="40" w:after="40"/>
      </w:pPr>
      <w:r>
        <w:rPr>
          <w:rFonts w:ascii="Arial" w:cs="Arial" w:eastAsia="Arial" w:hAnsi="Arial"/>
          <w:color w:val="555555"/>
          <w:sz w:val="20"/>
          <w:szCs w:val="20"/>
        </w:rPr>
        <w:t xml:space="preserve">Admin Dashboard (web-based)</w:t>
      </w:r>
    </w:p>
    <w:p>
      <w:pPr>
        <w:pStyle w:val="ListParagraph"/>
        <w:numPr>
          <w:ilvl w:val="0"/>
          <w:numId w:val="2"/>
        </w:numPr>
        <w:spacing w:before="40" w:after="40"/>
      </w:pPr>
      <w:r>
        <w:rPr>
          <w:rFonts w:ascii="Arial" w:cs="Arial" w:eastAsia="Arial" w:hAnsi="Arial"/>
          <w:color w:val="555555"/>
          <w:sz w:val="20"/>
          <w:szCs w:val="20"/>
        </w:rPr>
        <w:t xml:space="preserve">Notification Services</w:t>
      </w:r>
    </w:p>
    <w:p>
      <w:pPr>
        <w:pStyle w:val="ListParagraph"/>
        <w:numPr>
          <w:ilvl w:val="0"/>
          <w:numId w:val="2"/>
        </w:numPr>
        <w:spacing w:before="40" w:after="40"/>
      </w:pPr>
      <w:r>
        <w:rPr>
          <w:rFonts w:ascii="Arial" w:cs="Arial" w:eastAsia="Arial" w:hAnsi="Arial"/>
          <w:color w:val="555555"/>
          <w:sz w:val="20"/>
          <w:szCs w:val="20"/>
        </w:rPr>
        <w:t xml:space="preserve">Subscription and Payment Management</w:t>
      </w:r>
    </w:p>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1.4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SH-001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Students (primary users) — applicants seeking scholarships, university programmes, internships and jobs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Core user base</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SH-002</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Universities &amp; Colleges — institutions promoting programmes and discovering talent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Institutional subscriber</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SH-003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Scholarship Providers — government, corporate, NGO, foundation sponsors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Institutional subscriber</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SH-004</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Employers — companies posting internships, graduate programmes, entry-level roles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Institutional subscriber</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SH-005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Individual Philanthropists — individuals or organisations creating private scholarships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Verified sponsor</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SH-006</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Platform Administrators — Pathfindr internal team managing the ecosystem</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Internal role</w:t>
            </w:r>
          </w:p>
        </w:tc>
      </w:tr>
    </w:tbl>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1.5 Definitions &amp; Abbreviations</w:t>
      </w:r>
    </w:p>
    <w:p>
      <w:pPr>
        <w:spacing w:before="60" w:after="80"/>
      </w:pPr>
      <w:r>
        <w:rPr>
          <w:rFonts w:ascii="Arial" w:cs="Arial" w:eastAsia="Arial" w:hAnsi="Arial"/>
          <w:b w:val="false"/>
          <w:bCs w:val="false"/>
          <w:color w:val="555555"/>
          <w:sz w:val="20"/>
          <w:szCs w:val="20"/>
        </w:rPr>
        <w:t xml:space="preserve">The following terms are used throughout this document:</w:t>
      </w:r>
    </w:p>
    <w:p>
      <w:pPr>
        <w:pStyle w:val="ListParagraph"/>
        <w:numPr>
          <w:ilvl w:val="0"/>
          <w:numId w:val="2"/>
        </w:numPr>
        <w:spacing w:before="40" w:after="40"/>
      </w:pPr>
      <w:r>
        <w:rPr>
          <w:rFonts w:ascii="Arial" w:cs="Arial" w:eastAsia="Arial" w:hAnsi="Arial"/>
          <w:color w:val="555555"/>
          <w:sz w:val="20"/>
          <w:szCs w:val="20"/>
        </w:rPr>
        <w:t xml:space="preserve">SFR — System Functional Requirements</w:t>
      </w:r>
    </w:p>
    <w:p>
      <w:pPr>
        <w:pStyle w:val="ListParagraph"/>
        <w:numPr>
          <w:ilvl w:val="0"/>
          <w:numId w:val="2"/>
        </w:numPr>
        <w:spacing w:before="40" w:after="40"/>
      </w:pPr>
      <w:r>
        <w:rPr>
          <w:rFonts w:ascii="Arial" w:cs="Arial" w:eastAsia="Arial" w:hAnsi="Arial"/>
          <w:color w:val="555555"/>
          <w:sz w:val="20"/>
          <w:szCs w:val="20"/>
        </w:rPr>
        <w:t xml:space="preserve">UAP — Unified Academic Profile (student's digital education resume)</w:t>
      </w:r>
    </w:p>
    <w:p>
      <w:pPr>
        <w:pStyle w:val="ListParagraph"/>
        <w:numPr>
          <w:ilvl w:val="0"/>
          <w:numId w:val="2"/>
        </w:numPr>
        <w:spacing w:before="40" w:after="40"/>
      </w:pPr>
      <w:r>
        <w:rPr>
          <w:rFonts w:ascii="Arial" w:cs="Arial" w:eastAsia="Arial" w:hAnsi="Arial"/>
          <w:color w:val="555555"/>
          <w:sz w:val="20"/>
          <w:szCs w:val="20"/>
        </w:rPr>
        <w:t xml:space="preserve">Auto-Apply — System-initiated submission of student applications on their behalf</w:t>
      </w:r>
    </w:p>
    <w:p>
      <w:pPr>
        <w:pStyle w:val="ListParagraph"/>
        <w:numPr>
          <w:ilvl w:val="0"/>
          <w:numId w:val="2"/>
        </w:numPr>
        <w:spacing w:before="40" w:after="40"/>
      </w:pPr>
      <w:r>
        <w:rPr>
          <w:rFonts w:ascii="Arial" w:cs="Arial" w:eastAsia="Arial" w:hAnsi="Arial"/>
          <w:color w:val="555555"/>
          <w:sz w:val="20"/>
          <w:szCs w:val="20"/>
        </w:rPr>
        <w:t xml:space="preserve">Matching Engine — AI-driven algorithm that pairs students with relevant opportunities</w:t>
      </w:r>
    </w:p>
    <w:p>
      <w:pPr>
        <w:pStyle w:val="ListParagraph"/>
        <w:numPr>
          <w:ilvl w:val="0"/>
          <w:numId w:val="2"/>
        </w:numPr>
        <w:spacing w:before="40" w:after="40"/>
      </w:pPr>
      <w:r>
        <w:rPr>
          <w:rFonts w:ascii="Arial" w:cs="Arial" w:eastAsia="Arial" w:hAnsi="Arial"/>
          <w:color w:val="555555"/>
          <w:sz w:val="20"/>
          <w:szCs w:val="20"/>
        </w:rPr>
        <w:t xml:space="preserve">MUST — Mandatory requirement for initial launch</w:t>
      </w:r>
    </w:p>
    <w:p>
      <w:pPr>
        <w:pStyle w:val="ListParagraph"/>
        <w:numPr>
          <w:ilvl w:val="0"/>
          <w:numId w:val="2"/>
        </w:numPr>
        <w:spacing w:before="40" w:after="40"/>
      </w:pPr>
      <w:r>
        <w:rPr>
          <w:rFonts w:ascii="Arial" w:cs="Arial" w:eastAsia="Arial" w:hAnsi="Arial"/>
          <w:color w:val="555555"/>
          <w:sz w:val="20"/>
          <w:szCs w:val="20"/>
        </w:rPr>
        <w:t xml:space="preserve">SHOULD — High-priority, planned for near-term release</w:t>
      </w:r>
    </w:p>
    <w:p>
      <w:pPr>
        <w:pStyle w:val="ListParagraph"/>
        <w:numPr>
          <w:ilvl w:val="0"/>
          <w:numId w:val="2"/>
        </w:numPr>
        <w:spacing w:before="40" w:after="40"/>
      </w:pPr>
      <w:r>
        <w:rPr>
          <w:rFonts w:ascii="Arial" w:cs="Arial" w:eastAsia="Arial" w:hAnsi="Arial"/>
          <w:color w:val="555555"/>
          <w:sz w:val="20"/>
          <w:szCs w:val="20"/>
        </w:rPr>
        <w:t xml:space="preserve">COULD — Desirable, subject to capacity and roadmap</w:t>
      </w:r>
    </w:p>
    <w:p>
      <w:r>
        <w:br w:type="page"/>
      </w:r>
    </w:p>
    <w:p>
      <w:pPr>
        <w:pStyle w:val="Heading1"/>
        <w:pBdr>
          <w:bottom w:val="single" w:color="F0A500" w:sz="4"/>
        </w:pBdr>
        <w:shd w:fill="1E2A4A" w:val="clear"/>
        <w:spacing w:before="360" w:after="160"/>
        <w:ind w:left="200" w:right="200"/>
      </w:pPr>
      <w:r>
        <w:rPr>
          <w:rFonts w:ascii="Arial" w:cs="Arial" w:eastAsia="Arial" w:hAnsi="Arial"/>
          <w:b/>
          <w:bCs/>
          <w:color w:val="FFFFFF"/>
          <w:sz w:val="30"/>
          <w:szCs w:val="30"/>
        </w:rPr>
        <w:t xml:space="preserve">2. User Roles &amp; Access Levels</w:t>
      </w:r>
    </w:p>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2.1 Role Definitions</w:t>
      </w:r>
    </w:p>
    <w:p>
      <w:pPr>
        <w:spacing w:before="60" w:after="80"/>
      </w:pPr>
      <w:r>
        <w:rPr>
          <w:rFonts w:ascii="Arial" w:cs="Arial" w:eastAsia="Arial" w:hAnsi="Arial"/>
          <w:b w:val="false"/>
          <w:bCs w:val="false"/>
          <w:color w:val="555555"/>
          <w:sz w:val="20"/>
          <w:szCs w:val="20"/>
        </w:rPr>
        <w:t xml:space="preserve">The system shall support the following distinct user roles with differentiated permissions and interfaces:</w:t>
      </w:r>
    </w:p>
    <w:p>
      <w:pPr>
        <w:spacing w:before="80" w:after="80"/>
      </w:pPr>
      <w:r>
        <w:t xml:space="preserve"/>
      </w:r>
    </w:p>
    <w:p>
      <w:pPr>
        <w:pStyle w:val="Heading3"/>
        <w:spacing w:before="220" w:after="80"/>
      </w:pPr>
      <w:r>
        <w:rPr>
          <w:rFonts w:ascii="Arial" w:cs="Arial" w:eastAsia="Arial" w:hAnsi="Arial"/>
          <w:b/>
          <w:bCs/>
          <w:color w:val="1A56DB"/>
          <w:sz w:val="22"/>
          <w:szCs w:val="22"/>
        </w:rPr>
        <w:t xml:space="preserve">2.1.1 Student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FR-STU-001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Register and create a basic Unified Academic Profile (UAP)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Email or social sign-up</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FR-STU-002</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Browse scholarships, university programmes, internships, and jobs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Read-only access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FR-STU-003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Manually apply for opportunities by submitting profile data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Manual workflow</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FR-STU-004</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Receive up to 5 opportunity match notifications per month</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Basic notification tier</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FR-STU-005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View application status for manually submitted applications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Basic tracking</w:t>
            </w:r>
          </w:p>
        </w:tc>
      </w:tr>
    </w:tbl>
    <w:p>
      <w:pPr>
        <w:spacing w:before="80" w:after="80"/>
      </w:pPr>
      <w:r>
        <w:t xml:space="preserve"/>
      </w:r>
    </w:p>
    <w:p>
      <w:pPr>
        <w:pStyle w:val="Heading3"/>
        <w:spacing w:before="220" w:after="80"/>
      </w:pPr>
      <w:r>
        <w:rPr>
          <w:rFonts w:ascii="Arial" w:cs="Arial" w:eastAsia="Arial" w:hAnsi="Arial"/>
          <w:b/>
          <w:bCs/>
          <w:color w:val="1A56DB"/>
          <w:sz w:val="22"/>
          <w:szCs w:val="22"/>
        </w:rPr>
        <w:t xml:space="preserve">2.1.2 Student (Premium Subscriber)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FR-PRE-001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All free tier features, plus unlimited notifications and recommendations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Paid tier</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FR-PRE-002</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Enable Auto-Apply for eligible scholarships and programmes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Core premium feature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FR-PRE-003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Access full application tracking dashboard across all submissions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Premium dashboard</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FR-PRE-004</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Receive AI-powered scholarship matching based on full UAP data</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Matching engine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FR-PRE-005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Profile visibility to employers and university recruiters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Discovery mode</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FR-PRE-006</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Access personalised career guidance and programme recommendations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AI recommendations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FR-PRE-007</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Download a formatted academic CV/resume generated from their UAP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CV export</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FR-PRE-008</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1A56DB"/>
                <w:sz w:val="18"/>
                <w:szCs w:val="18"/>
              </w:rPr>
              <w:t xml:space="preserve">COULD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Access premium essay writing assistance powered by AI</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Content AI tool</w:t>
            </w:r>
          </w:p>
        </w:tc>
      </w:tr>
    </w:tbl>
    <w:p>
      <w:pPr>
        <w:spacing w:before="80" w:after="80"/>
      </w:pPr>
      <w:r>
        <w:t xml:space="preserve"/>
      </w:r>
    </w:p>
    <w:p>
      <w:pPr>
        <w:pStyle w:val="Heading3"/>
        <w:spacing w:before="220" w:after="80"/>
      </w:pPr>
      <w:r>
        <w:rPr>
          <w:rFonts w:ascii="Arial" w:cs="Arial" w:eastAsia="Arial" w:hAnsi="Arial"/>
          <w:b/>
          <w:bCs/>
          <w:color w:val="1A56DB"/>
          <w:sz w:val="22"/>
          <w:szCs w:val="22"/>
        </w:rPr>
        <w:t xml:space="preserve">2.1.3 Institutional User (University / Scholarship Provider / Employer)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FR-INS-001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Register an institutional account with verification workflow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KYC/KYB process</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FR-INS-002</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Create and manage an institution profile page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Profile management</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FR-INS-003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Post, edit, and remove scholarship, programme, internship, or job listings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Opportunity management</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FR-INS-004</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Access and review student applications submitted to their listings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Application inbox</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FR-INS-005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Search and filter student profiles based on academic criteria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Talent search</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FR-INS-006</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Shortlist, rate, and communicate with candidate students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CRM-lite features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FR-INS-007</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Access analytics on listing views, applications, and conversion rates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Engagement analytics</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FR-INS-008</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1A56DB"/>
                <w:sz w:val="18"/>
                <w:szCs w:val="18"/>
              </w:rPr>
              <w:t xml:space="preserve">COULD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Promote listings as featured or priority placements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Paid promotion</w:t>
            </w:r>
          </w:p>
        </w:tc>
      </w:tr>
    </w:tbl>
    <w:p>
      <w:pPr>
        <w:spacing w:before="80" w:after="80"/>
      </w:pPr>
      <w:r>
        <w:t xml:space="preserve"/>
      </w:r>
    </w:p>
    <w:p>
      <w:pPr>
        <w:pStyle w:val="Heading3"/>
        <w:spacing w:before="220" w:after="80"/>
      </w:pPr>
      <w:r>
        <w:rPr>
          <w:rFonts w:ascii="Arial" w:cs="Arial" w:eastAsia="Arial" w:hAnsi="Arial"/>
          <w:b/>
          <w:bCs/>
          <w:color w:val="1A56DB"/>
          <w:sz w:val="22"/>
          <w:szCs w:val="22"/>
        </w:rPr>
        <w:t xml:space="preserve">2.1.4 Philanthropist / Individual Scholarship Sponsor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FR-PHI-001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Register and verify identity as an individual or corporate sponsor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Verification required</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FR-PHI-002</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Create a private scholarship with custom criteria and funding amount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Scholarship builder</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FR-PHI-003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Review and select scholarship recipients through the platform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Selection workflow</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FR-PHI-004</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Track disbursement and scholarship lifecycle transparently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Fund transparency</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FR-PHI-005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Generate CSR / tax documentation based on scholarship disbursements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Compliance reports</w:t>
            </w:r>
          </w:p>
        </w:tc>
      </w:tr>
    </w:tbl>
    <w:p>
      <w:pPr>
        <w:spacing w:before="80" w:after="80"/>
      </w:pPr>
      <w:r>
        <w:t xml:space="preserve"/>
      </w:r>
    </w:p>
    <w:p>
      <w:pPr>
        <w:pStyle w:val="Heading3"/>
        <w:spacing w:before="220" w:after="80"/>
      </w:pPr>
      <w:r>
        <w:rPr>
          <w:rFonts w:ascii="Arial" w:cs="Arial" w:eastAsia="Arial" w:hAnsi="Arial"/>
          <w:b/>
          <w:bCs/>
          <w:color w:val="1A56DB"/>
          <w:sz w:val="22"/>
          <w:szCs w:val="22"/>
        </w:rPr>
        <w:t xml:space="preserve">2.1.5 Platform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FR-ADM-001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Access all system data via a secure admin dashboard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Super admin access</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FR-ADM-002</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Verify and approve institutional accounts before activation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Verification queue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FR-ADM-003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Manage opportunity listings including moderation and removal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Content moderation</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FR-ADM-004</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Configure subscription plans, pricing, and promotional offers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Subscription admin</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FR-ADM-005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View platform-wide analytics and financial dashboards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BI reporting</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FR-ADM-006</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Manage featured listings and advertising placements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Ad management</w:t>
            </w:r>
          </w:p>
        </w:tc>
      </w:tr>
    </w:tbl>
    <w:p>
      <w:r>
        <w:br w:type="page"/>
      </w:r>
    </w:p>
    <w:p>
      <w:pPr>
        <w:pStyle w:val="Heading1"/>
        <w:pBdr>
          <w:bottom w:val="single" w:color="F0A500" w:sz="4"/>
        </w:pBdr>
        <w:shd w:fill="1E2A4A" w:val="clear"/>
        <w:spacing w:before="360" w:after="160"/>
        <w:ind w:left="200" w:right="200"/>
      </w:pPr>
      <w:r>
        <w:rPr>
          <w:rFonts w:ascii="Arial" w:cs="Arial" w:eastAsia="Arial" w:hAnsi="Arial"/>
          <w:b/>
          <w:bCs/>
          <w:color w:val="FFFFFF"/>
          <w:sz w:val="30"/>
          <w:szCs w:val="30"/>
        </w:rPr>
        <w:t xml:space="preserve">3. Unified Academic Profile (UAP)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56DB" w:sz="2"/>
              <w:left w:val="single" w:color="1A56DB" w:sz="2"/>
              <w:bottom w:val="single" w:color="1A56DB" w:sz="2"/>
              <w:right w:val="single" w:color="1A56DB" w:sz="2"/>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Core Concept</w:t>
            </w:r>
          </w:p>
        </w:tc>
        <w:tc>
          <w:tcPr>
            <w:tcW w:type="dxa" w:w="8160"/>
            <w:tcBorders>
              <w:top w:val="single" w:color="1A56DB" w:sz="2"/>
              <w:left w:val="single" w:color="1A56DB" w:sz="2"/>
              <w:bottom w:val="single" w:color="1A56DB" w:sz="2"/>
              <w:right w:val="single" w:color="1A56DB" w:sz="2"/>
            </w:tcBorders>
            <w:shd w:fill="EBF2FF" w:val="clear"/>
            <w:tcMar>
              <w:top w:type="dxa" w:w="80"/>
              <w:left w:type="dxa" w:w="160"/>
              <w:bottom w:type="dxa" w:w="80"/>
              <w:right w:type="dxa" w:w="120"/>
            </w:tcMar>
          </w:tcPr>
          <w:p>
            <w:r>
              <w:rPr>
                <w:rFonts w:ascii="Arial" w:cs="Arial" w:eastAsia="Arial" w:hAnsi="Arial"/>
                <w:color w:val="1E2A4A"/>
                <w:sz w:val="19"/>
                <w:szCs w:val="19"/>
              </w:rPr>
              <w:t xml:space="preserve">The UAP is the student's digital education resume — the single profile used across all applications. It is the foundation of the Auto-Apply feature and the matching engine.</w:t>
            </w:r>
          </w:p>
        </w:tc>
      </w:tr>
    </w:tbl>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3.1 Profile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FR-UAP-001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Student must be able to register via email/password or OAuth (Google, Apple)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Auth options</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FR-UAP-002</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Capture personal details: full name, date of birth, gender, nationality, country of residence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Basic identity</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FR-UAP-003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Capture contact information: email, phone number, address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Contact data</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FR-UAP-004</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Profile completion percentage indicator to guide students through full setup</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UX guidance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FR-UAP-005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Profile must be saveable as draft and resumable across sessions and devices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Persistence</w:t>
            </w:r>
          </w:p>
        </w:tc>
      </w:tr>
    </w:tbl>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3.2 Academic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FR-UAP-010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Record multiple academic qualifications: SPM, STPM, Diploma, Degree, Postgraduate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Multi-level education</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FR-UAP-011</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Capture institution name, qualification title, field of study, start and end dates, grade/CGPA</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Academic record</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FR-UAP-012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Support document upload for academic transcripts, certificates, and result slips (PDF, JPG, PNG)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Document vault</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FR-UAP-013</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Allow manual entry of subject-level results for standardised examinations (SPM, A-Level, IB)</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Subject grades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FR-UAP-014</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Flag documents as 'Verified' once reviewed by the institution or Pathfindr admin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Verification badge</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FR-UAP-015</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Support integration with MyResults or equivalent national academic data API for auto-fill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API integration</w:t>
            </w:r>
          </w:p>
        </w:tc>
      </w:tr>
    </w:tbl>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3.3 Achievements, Activities &amp;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FR-UAP-020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Student can add co-curricular activities with role, duration, and achievement level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Extracurriculars</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FR-UAP-021</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Student can add individual awards, certifications, and honours with supporting documents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Awards section</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FR-UAP-022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Student can add a portfolio section with project titles, descriptions, and media links (GitHub, Behance, etc.)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Portfolio</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FR-UAP-023</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Student can add language proficiency entries including test scores (IELTS, TOEFL, MUET)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Language skills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FR-UAP-024</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Student can record volunteer or community service activities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Community service</w:t>
            </w:r>
          </w:p>
        </w:tc>
      </w:tr>
    </w:tbl>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3.4 Career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FR-UAP-030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Student can specify career interest areas, preferred fields of study, and target countries/regions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Career interests</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FR-UAP-031</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Student can indicate financial background category (self-declaration) for bursary eligibility matching</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Socioeconomic filter</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FR-UAP-032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Student can indicate availability type: full-time study, internship, part-time, graduate employment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Availability</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FR-UAP-033</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Student can write a personal statement or summary stored in their UAP</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Personal statement</w:t>
            </w:r>
          </w:p>
        </w:tc>
      </w:tr>
    </w:tbl>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3.5 Auto-Apply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56DB" w:sz="2"/>
              <w:left w:val="single" w:color="1A56DB" w:sz="2"/>
              <w:bottom w:val="single" w:color="1A56DB" w:sz="2"/>
              <w:right w:val="single" w:color="1A56DB" w:sz="2"/>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Feature</w:t>
            </w:r>
          </w:p>
        </w:tc>
        <w:tc>
          <w:tcPr>
            <w:tcW w:type="dxa" w:w="8160"/>
            <w:tcBorders>
              <w:top w:val="single" w:color="1A56DB" w:sz="2"/>
              <w:left w:val="single" w:color="1A56DB" w:sz="2"/>
              <w:bottom w:val="single" w:color="1A56DB" w:sz="2"/>
              <w:right w:val="single" w:color="1A56DB" w:sz="2"/>
            </w:tcBorders>
            <w:shd w:fill="EBF2FF" w:val="clear"/>
            <w:tcMar>
              <w:top w:type="dxa" w:w="80"/>
              <w:left w:type="dxa" w:w="160"/>
              <w:bottom w:type="dxa" w:w="80"/>
              <w:right w:type="dxa" w:w="120"/>
            </w:tcMar>
          </w:tcPr>
          <w:p>
            <w:r>
              <w:rPr>
                <w:rFonts w:ascii="Arial" w:cs="Arial" w:eastAsia="Arial" w:hAnsi="Arial"/>
                <w:color w:val="1E2A4A"/>
                <w:sz w:val="19"/>
                <w:szCs w:val="19"/>
              </w:rPr>
              <w:t xml:space="preserve">Auto-Apply is the core premium value proposition. The system reads the student's UAP and automatically submits applications to eligible opportunities on their behalf without manual input per application.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FR-AAP-001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Auto-Apply must only be enabled for premium subscribers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Subscription gate</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FR-AAP-002</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System must evaluate opportunity eligibility criteria against UAP data before applying</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Eligibility check</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FR-AAP-003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Student must explicitly opt-in to Auto-Apply per opportunity category (scholarships, jobs, internships)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Consent control</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FR-AAP-004</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Student must review and confirm Auto-Apply settings including which opportunities are in scope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Review &amp; confirm</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FR-AAP-005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System must log every auto-submitted application with timestamp, opportunity ID, and submission 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Audit trail</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FR-AAP-006</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Student receives real-time notification for every application submitted on their behalf</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Transparency</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FR-AAP-007</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Student can pause, resume, or cancel Auto-Apply at any time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User control</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FR-AAP-008</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System generates a pre-populated application summary for student review before submission, with a 24-hour confirmation window</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Review window</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FR-AAP-009</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Auto-Apply queue can be prioritised by deadline proximity and match score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Smart queue</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FR-AAP-010</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1A56DB"/>
                <w:sz w:val="18"/>
                <w:szCs w:val="18"/>
              </w:rPr>
              <w:t xml:space="preserve">COULD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AI assistant pre-fills bespoke essay questions based on student's UAP and personal statement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AI essay assist</w:t>
            </w:r>
          </w:p>
        </w:tc>
      </w:tr>
    </w:tbl>
    <w:p>
      <w:r>
        <w:br w:type="page"/>
      </w:r>
    </w:p>
    <w:p>
      <w:pPr>
        <w:pStyle w:val="Heading1"/>
        <w:pBdr>
          <w:bottom w:val="single" w:color="F0A500" w:sz="4"/>
        </w:pBdr>
        <w:shd w:fill="1E2A4A" w:val="clear"/>
        <w:spacing w:before="360" w:after="160"/>
        <w:ind w:left="200" w:right="200"/>
      </w:pPr>
      <w:r>
        <w:rPr>
          <w:rFonts w:ascii="Arial" w:cs="Arial" w:eastAsia="Arial" w:hAnsi="Arial"/>
          <w:b/>
          <w:bCs/>
          <w:color w:val="FFFFFF"/>
          <w:sz w:val="30"/>
          <w:szCs w:val="30"/>
        </w:rPr>
        <w:t xml:space="preserve">4. Scholarship Marketplace</w:t>
      </w:r>
    </w:p>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4.1 Scholarship 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FR-SCH-001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Display all available scholarships sourced from institutional partners and platform aggregation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Marketplace view</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FR-SCH-002</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Each listing must include: scholarship name, provider, value, eligible fields, countries, deadline, eligibility criteria</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Listing data model</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FR-SCH-003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Scholarships must be categorised by provider type: government, university, corporate, NGO, private foundation, individual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Category filter</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FR-SCH-004</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Student can search and filter scholarships by field of study, country, academic level, deadline, and funding amount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Search &amp; filter</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FR-SCH-005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System displays a match score (%) on each scholarship card for premium users based on UAP data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Match score</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FR-SCH-006</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Students can save or bookmark scholarships for later review</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Bookmarking</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FR-SCH-007</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System provides an AI-generated eligibility summary explaining why a scholarship matches or does not match a student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Eligibility explanation</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FR-SCH-008</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Display estimated competition level based on number of applicants vs available awards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Competition insight</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FR-SCH-009</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56DB"/>
                <w:sz w:val="18"/>
                <w:szCs w:val="18"/>
              </w:rPr>
              <w:t xml:space="preserve">COULD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Allow students to set deadline reminders for saved scholarships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Reminders</w:t>
            </w:r>
          </w:p>
        </w:tc>
      </w:tr>
    </w:tbl>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4.2 Scholarship Application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FR-SCH-010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Manual application flow: student reviews pre-filled form from UAP, supplements missing data, submits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Manual apply</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FR-SCH-011</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Auto-Apply flow: system detects eligible scholarship, queues submission, notifies student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Auto apply</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FR-SCH-012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System tracks application status: Applied, Under Review, Shortlisted, Rejected, Awarded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Status tracking</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FR-SCH-013</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Students receive push/email notifications on any status change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Status alerts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FR-SCH-014</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System supports document submission within the application (transcripts, personal statement, references)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Doc submission</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FR-SCH-015</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System supports multi-round applications: initial application, interview invite, final submission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Multi-round flow</w:t>
            </w:r>
          </w:p>
        </w:tc>
      </w:tr>
    </w:tbl>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4.3 Individual / Philanthropist Scholarship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FR-PHI-010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Sponsors can create a scholarship via a guided builder: define name, criteria, amount, deadline, available slots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Scholarship builder</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FR-PHI-011</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Platform screens applicants against the defined criteria and presents a shortlist to the sponsor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Auto-screening</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FR-PHI-012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Sponsor reviews candidate profiles and marks selections within the platform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Selection UI</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FR-PHI-013</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Platform manages notifications to successful and unsuccessful candidates on behalf of the sponsor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Outcome comms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FR-PHI-014</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Platform provides a disbursement tracking log with confirmation from both sponsor and recipient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Fund tracking</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FR-PHI-015</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Generate formatted CSR / donation report for tax documentation purposes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Tax report</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FR-PHI-016</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56DB"/>
                <w:sz w:val="18"/>
                <w:szCs w:val="18"/>
              </w:rPr>
              <w:t xml:space="preserve">COULD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Allow sponsors to create renewable/recurring scholarships with annual cohort management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Recurring scholarship</w:t>
            </w:r>
          </w:p>
        </w:tc>
      </w:tr>
    </w:tbl>
    <w:p>
      <w:r>
        <w:br w:type="page"/>
      </w:r>
    </w:p>
    <w:p>
      <w:pPr>
        <w:pStyle w:val="Heading1"/>
        <w:pBdr>
          <w:bottom w:val="single" w:color="F0A500" w:sz="4"/>
        </w:pBdr>
        <w:shd w:fill="1E2A4A" w:val="clear"/>
        <w:spacing w:before="360" w:after="160"/>
        <w:ind w:left="200" w:right="200"/>
      </w:pPr>
      <w:r>
        <w:rPr>
          <w:rFonts w:ascii="Arial" w:cs="Arial" w:eastAsia="Arial" w:hAnsi="Arial"/>
          <w:b/>
          <w:bCs/>
          <w:color w:val="FFFFFF"/>
          <w:sz w:val="30"/>
          <w:szCs w:val="30"/>
        </w:rPr>
        <w:t xml:space="preserve">5. University &amp; Programme Discovery</w:t>
      </w:r>
    </w:p>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5.1 University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FR-UNI-001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Universities can create a verified institution profile with name, logo, description, contact, and location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Uni profile</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FR-UNI-002</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University profile displays all listed programmes, entry requirements, and scholarships offered by that institution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Programme listing</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FR-UNI-003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Students can follow a university to receive updates on new programmes or intake periods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Follow system</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FR-UNI-004</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University profile displays student reviews and ratings (moderated)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Reviews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FR-UNI-005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Universities can post featured news, events, or virtual open day links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News feed</w:t>
            </w:r>
          </w:p>
        </w:tc>
      </w:tr>
    </w:tbl>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5.2 Programme 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FR-PRG-001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Each programme listing must include: programme name, level, field of study, duration, entry requirements, tuition fee, intake dates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Programme data model</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FR-PRG-002</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Students can search programmes by field of study, country, tuition range, academic level, and intake period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Search filters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FR-PRG-003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Students can compare up to 4 programmes side-by-side on key attributes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Comparison tool</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FR-PRG-004</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System evaluates student UAP against entry requirements and displays a suitability indicator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Eligibility check</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FR-PRG-005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Students can submit an expression of interest or request more information directly through the platform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Enquiry flow</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FR-PRG-006</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1A56DB"/>
                <w:sz w:val="18"/>
                <w:szCs w:val="18"/>
              </w:rPr>
              <w:t xml:space="preserve">COULD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Platform integrates with university application portals for direct admissions submission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Deep integration</w:t>
            </w:r>
          </w:p>
        </w:tc>
      </w:tr>
    </w:tbl>
    <w:p>
      <w:r>
        <w:br w:type="page"/>
      </w:r>
    </w:p>
    <w:p>
      <w:pPr>
        <w:pStyle w:val="Heading1"/>
        <w:pBdr>
          <w:bottom w:val="single" w:color="F0A500" w:sz="4"/>
        </w:pBdr>
        <w:shd w:fill="1E2A4A" w:val="clear"/>
        <w:spacing w:before="360" w:after="160"/>
        <w:ind w:left="200" w:right="200"/>
      </w:pPr>
      <w:r>
        <w:rPr>
          <w:rFonts w:ascii="Arial" w:cs="Arial" w:eastAsia="Arial" w:hAnsi="Arial"/>
          <w:b/>
          <w:bCs/>
          <w:color w:val="FFFFFF"/>
          <w:sz w:val="30"/>
          <w:szCs w:val="30"/>
        </w:rPr>
        <w:t xml:space="preserve">6. Internship &amp; Job Opportunities</w:t>
      </w:r>
    </w:p>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6.1 Employer 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FR-JOB-001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Employers can post internship and job opportunities with title, description, required skills, qualifications, duration, and application deadline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Job listing</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FR-JOB-002</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Listings are categorised by type: Internship, Graduate Programme, Entry-Level Job, Part-Time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Opportunity type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FR-JOB-003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Employer can set minimum academic criteria (CGPA, qualification level, field of study) as eligibility gates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Eligibility gate</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FR-JOB-004</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Employer can search and filter student profiles based on skills, academic performance, and availability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Talent search</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FR-JOB-005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Employer can send direct opportunity invitations to matched student profiles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Proactive outreach</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FR-JOB-006</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1A56DB"/>
                <w:sz w:val="18"/>
                <w:szCs w:val="18"/>
              </w:rPr>
              <w:t xml:space="preserve">COULD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Employer can run targeted campaigns to a filtered student segment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Targeted campaign</w:t>
            </w:r>
          </w:p>
        </w:tc>
      </w:tr>
    </w:tbl>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6.2 Student Job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FR-JOB-010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Students can browse and search internships and jobs with filters by industry, location, type, and deadline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Job browsing</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FR-JOB-011</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Premium students receive personalised job and internship recommendations based on their UAP and stated preferences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Recommendations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FR-JOB-012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Students can apply to jobs manually, with UAP data pre-filling the application form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Quick apply</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FR-JOB-013</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Auto-Apply available for internships and entry-level jobs for premium subscribers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Auto apply jobs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FR-JOB-014</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Students receive alerts when an employer views their profile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Profile view alert</w:t>
            </w:r>
          </w:p>
        </w:tc>
      </w:tr>
    </w:tbl>
    <w:p>
      <w:r>
        <w:br w:type="page"/>
      </w:r>
    </w:p>
    <w:p>
      <w:pPr>
        <w:pStyle w:val="Heading1"/>
        <w:pBdr>
          <w:bottom w:val="single" w:color="F0A500" w:sz="4"/>
        </w:pBdr>
        <w:shd w:fill="1E2A4A" w:val="clear"/>
        <w:spacing w:before="360" w:after="160"/>
        <w:ind w:left="200" w:right="200"/>
      </w:pPr>
      <w:r>
        <w:rPr>
          <w:rFonts w:ascii="Arial" w:cs="Arial" w:eastAsia="Arial" w:hAnsi="Arial"/>
          <w:b/>
          <w:bCs/>
          <w:color w:val="FFFFFF"/>
          <w:sz w:val="30"/>
          <w:szCs w:val="30"/>
        </w:rPr>
        <w:t xml:space="preserve">7. Smart Notification System</w:t>
      </w:r>
    </w:p>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7.1 Notification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FR-NOT-001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New scholarship matching student profile (daily digest for free; real-time for premium)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Match alert</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FR-NOT-002</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Application status change (shortlisted, rejected, awarded)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Status update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FR-NOT-003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Upcoming application deadlines (7-day and 1-day reminders)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Deadline reminder</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FR-NOT-004</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Auto-Apply submission confirmation for each automated application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Auto-apply confirm</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FR-NOT-005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New programme or intake posted by followed universities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University update</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FR-NOT-006</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New job or internship matching student profile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Job alert</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FR-NOT-007</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Employer or university has viewed the student profile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Profile view</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FR-NOT-008</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Weekly summary digest of recommended opportunities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Weekly digest</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FR-NOT-009</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56DB"/>
                <w:sz w:val="18"/>
                <w:szCs w:val="18"/>
              </w:rPr>
              <w:t xml:space="preserve">COULD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In-app announcements from Pathfindr (new features, tips)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Platform news</w:t>
            </w:r>
          </w:p>
        </w:tc>
      </w:tr>
    </w:tbl>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7.2 Notification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FR-NOT-010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Push notifications to iOS and Android via React Native (FCM/APNs)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Mobile push</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FR-NOT-011</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In-app notification centre with read/unread state and notification history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In-app centre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FR-NOT-012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Email notifications with HTML-formatted templates for key events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Email</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FR-NOT-013</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Student can configure notification preferences per category and delivery channel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Preferences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FR-NOT-014</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56DB"/>
                <w:sz w:val="18"/>
                <w:szCs w:val="18"/>
              </w:rPr>
              <w:t xml:space="preserve">COULD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WhatsApp notification integration as an optional channel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WhatsApp</w:t>
            </w:r>
          </w:p>
        </w:tc>
      </w:tr>
    </w:tbl>
    <w:p>
      <w:r>
        <w:br w:type="page"/>
      </w:r>
    </w:p>
    <w:p>
      <w:pPr>
        <w:pStyle w:val="Heading1"/>
        <w:pBdr>
          <w:bottom w:val="single" w:color="F0A500" w:sz="4"/>
        </w:pBdr>
        <w:shd w:fill="1E2A4A" w:val="clear"/>
        <w:spacing w:before="360" w:after="160"/>
        <w:ind w:left="200" w:right="200"/>
      </w:pPr>
      <w:r>
        <w:rPr>
          <w:rFonts w:ascii="Arial" w:cs="Arial" w:eastAsia="Arial" w:hAnsi="Arial"/>
          <w:b/>
          <w:bCs/>
          <w:color w:val="FFFFFF"/>
          <w:sz w:val="30"/>
          <w:szCs w:val="30"/>
        </w:rPr>
        <w:t xml:space="preserve">8. Subscription &amp; Payment Management</w:t>
      </w:r>
    </w:p>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8.1 Student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23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Free</w:t>
            </w:r>
          </w:p>
        </w:tc>
        <w:tc>
          <w:tcPr>
            <w:tcW w:type="dxa" w:w="23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Premium</w:t>
            </w:r>
          </w:p>
        </w:tc>
        <w:tc>
          <w:tcPr>
            <w:tcW w:type="dxa" w:w="23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Unified Academic Profile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7A40"/>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7A40"/>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
            </w:r>
          </w:p>
        </w:tc>
      </w:tr>
      <w:tr>
        <w:tc>
          <w:tcPr>
            <w:tcW w:type="dxa" w:w="23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555555"/>
                <w:sz w:val="18"/>
                <w:szCs w:val="18"/>
              </w:rPr>
              <w:t xml:space="preserve">Browse Opportunities</w:t>
            </w:r>
          </w:p>
        </w:tc>
        <w:tc>
          <w:tcPr>
            <w:tcW w:type="dxa" w:w="23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7A40"/>
                <w:sz w:val="18"/>
                <w:szCs w:val="18"/>
              </w:rPr>
              <w:t xml:space="preserve">Yes</w:t>
            </w:r>
          </w:p>
        </w:tc>
        <w:tc>
          <w:tcPr>
            <w:tcW w:type="dxa" w:w="23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7A40"/>
                <w:sz w:val="18"/>
                <w:szCs w:val="18"/>
              </w:rPr>
              <w:t xml:space="preserve">Yes</w:t>
            </w:r>
          </w:p>
        </w:tc>
        <w:tc>
          <w:tcPr>
            <w:tcW w:type="dxa" w:w="23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555555"/>
                <w:sz w:val="18"/>
                <w:szCs w:val="18"/>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Manual Applications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7A40"/>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7A40"/>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
            </w:r>
          </w:p>
        </w:tc>
      </w:tr>
      <w:tr>
        <w:tc>
          <w:tcPr>
            <w:tcW w:type="dxa" w:w="23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555555"/>
                <w:sz w:val="18"/>
                <w:szCs w:val="18"/>
              </w:rPr>
              <w:t xml:space="preserve">Match Notifications</w:t>
            </w:r>
          </w:p>
        </w:tc>
        <w:tc>
          <w:tcPr>
            <w:tcW w:type="dxa" w:w="23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555555"/>
                <w:sz w:val="18"/>
                <w:szCs w:val="18"/>
              </w:rPr>
              <w:t xml:space="preserve">5/month</w:t>
            </w:r>
          </w:p>
        </w:tc>
        <w:tc>
          <w:tcPr>
            <w:tcW w:type="dxa" w:w="23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7A40"/>
                <w:sz w:val="18"/>
                <w:szCs w:val="18"/>
              </w:rPr>
              <w:t xml:space="preserve">Unlimited</w:t>
            </w:r>
          </w:p>
        </w:tc>
        <w:tc>
          <w:tcPr>
            <w:tcW w:type="dxa" w:w="23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555555"/>
                <w:sz w:val="18"/>
                <w:szCs w:val="18"/>
              </w:rPr>
              <w:t xml:space="preserve">Real-time for premium</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Auto-Apply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CC0000"/>
                <w:sz w:val="18"/>
                <w:szCs w:val="18"/>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7A40"/>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Core premium feature</w:t>
            </w:r>
          </w:p>
        </w:tc>
      </w:tr>
      <w:tr>
        <w:tc>
          <w:tcPr>
            <w:tcW w:type="dxa" w:w="23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555555"/>
                <w:sz w:val="18"/>
                <w:szCs w:val="18"/>
              </w:rPr>
              <w:t xml:space="preserve">AI Matching Engine</w:t>
            </w:r>
          </w:p>
        </w:tc>
        <w:tc>
          <w:tcPr>
            <w:tcW w:type="dxa" w:w="23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555555"/>
                <w:sz w:val="18"/>
                <w:szCs w:val="18"/>
              </w:rPr>
              <w:t xml:space="preserve">Basic</w:t>
            </w:r>
          </w:p>
        </w:tc>
        <w:tc>
          <w:tcPr>
            <w:tcW w:type="dxa" w:w="23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7A40"/>
                <w:sz w:val="18"/>
                <w:szCs w:val="18"/>
              </w:rPr>
              <w:t xml:space="preserve">Full</w:t>
            </w:r>
          </w:p>
        </w:tc>
        <w:tc>
          <w:tcPr>
            <w:tcW w:type="dxa" w:w="23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555555"/>
                <w:sz w:val="18"/>
                <w:szCs w:val="18"/>
              </w:rPr>
              <w:t xml:space="preserve">UAP-powered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Application Tracker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Basic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7A40"/>
                <w:sz w:val="18"/>
                <w:szCs w:val="18"/>
              </w:rPr>
              <w:t xml:space="preserve">Full dashboard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
            </w:r>
          </w:p>
        </w:tc>
      </w:tr>
      <w:tr>
        <w:tc>
          <w:tcPr>
            <w:tcW w:type="dxa" w:w="23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555555"/>
                <w:sz w:val="18"/>
                <w:szCs w:val="18"/>
              </w:rPr>
              <w:t xml:space="preserve">Profile Visibility to Employers</w:t>
            </w:r>
          </w:p>
        </w:tc>
        <w:tc>
          <w:tcPr>
            <w:tcW w:type="dxa" w:w="23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CC0000"/>
                <w:sz w:val="18"/>
                <w:szCs w:val="18"/>
              </w:rPr>
              <w:t xml:space="preserve">No</w:t>
            </w:r>
          </w:p>
        </w:tc>
        <w:tc>
          <w:tcPr>
            <w:tcW w:type="dxa" w:w="23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7A40"/>
                <w:sz w:val="18"/>
                <w:szCs w:val="18"/>
              </w:rPr>
              <w:t xml:space="preserve">Yes</w:t>
            </w:r>
          </w:p>
        </w:tc>
        <w:tc>
          <w:tcPr>
            <w:tcW w:type="dxa" w:w="23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555555"/>
                <w:sz w:val="18"/>
                <w:szCs w:val="18"/>
              </w:rPr>
              <w:t xml:space="preserve">Opt-in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CV Export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CC0000"/>
                <w:sz w:val="18"/>
                <w:szCs w:val="18"/>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7A40"/>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Formatted download</w:t>
            </w:r>
          </w:p>
        </w:tc>
      </w:tr>
      <w:tr>
        <w:tc>
          <w:tcPr>
            <w:tcW w:type="dxa" w:w="23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555555"/>
                <w:sz w:val="18"/>
                <w:szCs w:val="18"/>
              </w:rPr>
              <w:t xml:space="preserve">AI Essay Assistance</w:t>
            </w:r>
          </w:p>
        </w:tc>
        <w:tc>
          <w:tcPr>
            <w:tcW w:type="dxa" w:w="23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CC0000"/>
                <w:sz w:val="18"/>
                <w:szCs w:val="18"/>
              </w:rPr>
              <w:t xml:space="preserve">No</w:t>
            </w:r>
          </w:p>
        </w:tc>
        <w:tc>
          <w:tcPr>
            <w:tcW w:type="dxa" w:w="23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1A7A40"/>
                <w:sz w:val="18"/>
                <w:szCs w:val="18"/>
              </w:rPr>
              <w:t xml:space="preserve">Yes</w:t>
            </w:r>
          </w:p>
        </w:tc>
        <w:tc>
          <w:tcPr>
            <w:tcW w:type="dxa" w:w="23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color w:val="555555"/>
                <w:sz w:val="18"/>
                <w:szCs w:val="18"/>
              </w:rPr>
              <w:t xml:space="preserve">Generative AI</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Estimated Price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RM10–RM20/month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555555"/>
                <w:sz w:val="18"/>
                <w:szCs w:val="18"/>
              </w:rPr>
              <w:t xml:space="preserve">Or annual plan</w:t>
            </w:r>
          </w:p>
        </w:tc>
      </w:tr>
    </w:tbl>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8.2 Institutional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FR-SUB-010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Institutional plans support tiered pricing: Basic, Professional, Enterprise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Tier model</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FR-SUB-011</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Basic: post up to 5 listings, view applicant profiles, basic analytics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Basic tier</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FR-SUB-012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Professional: unlimited listings, talent search, shortlisting tools, enhanced analytics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Pro tier</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FR-SUB-013</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Enterprise: custom API integration, dedicated account manager, CRM export, white-label options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Enterprise tier</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FR-SUB-014</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Premium listing promotion available as add-on (featured slot, top of search)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Promotions</w:t>
            </w:r>
          </w:p>
        </w:tc>
      </w:tr>
    </w:tbl>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8.3 Payment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FR-PAY-001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Integrate with Stripe or equivalent for card payments (Visa, Mastercard, Amex)</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Card payments</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FR-PAY-002</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Support FPX for Malaysian bank transfers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FPX</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FR-PAY-003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Support monthly and annual subscription billing with auto-renewal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Recurring billing</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FR-PAY-004</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Generate downloadable invoices and payment receipts per transaction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Invoicing</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FR-PAY-005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Subscription management: upgrade, downgrade, cancel, pause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Lifecycle management</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FR-PAY-006</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Promo codes and referral discount system</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Promotions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FR-PAY-007</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Support Apple Pay and Google Pay on mobile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Mobile wallets</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FR-PAY-008</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1A56DB"/>
                <w:sz w:val="18"/>
                <w:szCs w:val="18"/>
              </w:rPr>
              <w:t xml:space="preserve">COULD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Scholarship disbursement flow: sponsor deposits funds into platform escrow, released upon selection confirmation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Escrow payments</w:t>
            </w:r>
          </w:p>
        </w:tc>
      </w:tr>
    </w:tbl>
    <w:p>
      <w:r>
        <w:br w:type="page"/>
      </w:r>
    </w:p>
    <w:p>
      <w:pPr>
        <w:pStyle w:val="Heading1"/>
        <w:pBdr>
          <w:bottom w:val="single" w:color="F0A500" w:sz="4"/>
        </w:pBdr>
        <w:shd w:fill="1E2A4A" w:val="clear"/>
        <w:spacing w:before="360" w:after="160"/>
        <w:ind w:left="200" w:right="200"/>
      </w:pPr>
      <w:r>
        <w:rPr>
          <w:rFonts w:ascii="Arial" w:cs="Arial" w:eastAsia="Arial" w:hAnsi="Arial"/>
          <w:b/>
          <w:bCs/>
          <w:color w:val="FFFFFF"/>
          <w:sz w:val="30"/>
          <w:szCs w:val="30"/>
        </w:rPr>
        <w:t xml:space="preserve">9. Platform &amp; Technical Requirements</w:t>
      </w:r>
    </w:p>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9.1 Web Application (React 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FR-WEB-001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Responsive web application built in React JS supporting Chrome, Firefox, Safari, Edge (latest 2 versions)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Browser support</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FR-WEB-002</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Responsive design supporting desktop (1280px+), tablet (768px–1279px), and mobile browser (&lt; 768px)</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Responsive layout</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FR-WEB-003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State management using Redux Toolkit or React Context API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State management</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FR-WEB-004</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All pages must achieve 90+ Lighthouse performance score on desktop</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Performance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FR-WEB-005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SEO-optimised public pages (scholarship listings, university pages, job postings) with structured data markup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SEO</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FR-WEB-006</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Server-side rendering (SSR) or static site generation (SSG) via Next.js for public discovery pages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Next.js SSR</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FR-WEB-007</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Accessibility: WCAG 2.1 AA compliance across all user-facing components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Accessibility</w:t>
            </w:r>
          </w:p>
        </w:tc>
      </w:tr>
    </w:tbl>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9.2 Mobile Application (React 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FR-MOB-001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React Native application supporting iOS 14+ and Android 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Platform support</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FR-MOB-002</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Shared component library and business logic with the web application where feasible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Code sharing</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FR-MOB-003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Push notifications via Firebase Cloud Messaging (FCM) on Android and Apple Push Notification Service (APNs) on iOS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Push infra</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FR-MOB-004</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Biometric authentication support (Face ID, Touch ID, Android fingerprint)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Biometrics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FR-MOB-005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Document upload from camera or device storage (photos of transcripts, certificates)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Upload from device</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FR-MOB-006</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Offline mode: cache recently viewed scholarships and user profile data for offline reading</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Offline support</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FR-MOB-007</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Deep linking support for scholarship and programme pages shared via social media or messaging apps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Deep links</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FR-MOB-008</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App Store and Google Play compliant — adherence to platform guidelines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Store compliance</w:t>
            </w:r>
          </w:p>
        </w:tc>
      </w:tr>
    </w:tbl>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9.3 Backend API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FR-API-001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RESTful API or GraphQL API shared between web and mobile applications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Unified API</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FR-API-002</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JWT-based authentication with refresh token rotation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Auth security</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FR-API-003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Role-based access control (RBAC) enforced at the API layer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RBAC</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FR-API-004</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API rate limiting to prevent abuse (per user, per endpoint)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Rate limiting</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FR-API-005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API versioning to support backward compatibility across web and mobile releases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Versioning</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FR-API-006</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WebSocket or Server-Sent Events (SSE) for real-time notification delivery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Real-time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FR-API-007</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Comprehensive API documentation (OpenAPI/Swagger)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Documentation</w:t>
            </w:r>
          </w:p>
        </w:tc>
      </w:tr>
    </w:tbl>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9.4 Data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FR-DAT-001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Relational database (PostgreSQL) for structured student, institutional, and opportunity data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Primary DB</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FR-DAT-002</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Cloud object storage (AWS S3 or equivalent) for document uploads with access control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File storage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FR-DAT-003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Encrypted storage of all personally identifiable information (PII) at rest and in transit (TLS 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Encryption</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FR-DAT-004</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Elasticsearch or equivalent full-text search engine for opportunity discovery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Search engine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FR-DAT-005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Caching layer (Redis) for matching engine results, notification queues, and session data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Caching</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FR-DAT-006</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1A56DB"/>
                <w:sz w:val="18"/>
                <w:szCs w:val="18"/>
              </w:rPr>
              <w:t xml:space="preserve">COULD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Data warehouse (BigQuery, Redshift) for analytics and BI reporting</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Analytics DW</w:t>
            </w:r>
          </w:p>
        </w:tc>
      </w:tr>
    </w:tbl>
    <w:p>
      <w:r>
        <w:br w:type="page"/>
      </w:r>
    </w:p>
    <w:p>
      <w:pPr>
        <w:pStyle w:val="Heading1"/>
        <w:pBdr>
          <w:bottom w:val="single" w:color="F0A500" w:sz="4"/>
        </w:pBdr>
        <w:shd w:fill="1E2A4A" w:val="clear"/>
        <w:spacing w:before="360" w:after="160"/>
        <w:ind w:left="200" w:right="200"/>
      </w:pPr>
      <w:r>
        <w:rPr>
          <w:rFonts w:ascii="Arial" w:cs="Arial" w:eastAsia="Arial" w:hAnsi="Arial"/>
          <w:b/>
          <w:bCs/>
          <w:color w:val="FFFFFF"/>
          <w:sz w:val="30"/>
          <w:szCs w:val="30"/>
        </w:rPr>
        <w:t xml:space="preserve">10. Security &amp; Compliance</w:t>
      </w:r>
    </w:p>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10.1 Authentication &amp;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FR-SEC-001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Multi-factor authentication (MFA) option for all user accounts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MFA</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FR-SEC-002</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OAuth 2.0 social sign-in: Google, Apple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Social auth</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FR-SEC-003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Password hashing using bcrypt or Argon2 with minimum 12 character policy enforcement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Password security</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FR-SEC-004</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Session invalidation on logout and password change across all devices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Session control</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FR-SEC-005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Institutional accounts require email domain verification during registration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Domain verify</w:t>
            </w:r>
          </w:p>
        </w:tc>
      </w:tr>
    </w:tbl>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10.2 Data Privacy &amp; Regulation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FR-SEC-010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Compliance with Malaysia's Personal Data Protection Act (PDPA) 2010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PDPA</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FR-SEC-011</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GDPR-ready architecture to support expansion into EU markets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GDPR readiness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FR-SEC-012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Student consents to data sharing must be explicit, granular, and revocable at any time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Consent management</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FR-SEC-013</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Right to erasure: students can request full account deletion including all personal data</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Data deletion</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FR-SEC-014</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Data export: students can download all their data in a portable format (JSON/PDF)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Data portability</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FR-SEC-015</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Privacy dashboard showing what data is stored, who has seen the profile, and sharing history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Privacy dashboard</w:t>
            </w:r>
          </w:p>
        </w:tc>
      </w:tr>
    </w:tbl>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10.3 Infrastructure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FR-SEC-020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All data encrypted in transit via TLS 1.2+ (HTTPS enforced)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Transport security</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FR-SEC-021</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All sensitive PII encrypted at rest in the database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At-rest encryption</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FR-SEC-022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Regular automated backups with point-in-time recovery capability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Backups</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FR-SEC-023</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Web Application Firewall (WAF) and DDoS protection on public endpoints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WAF / DDoS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FR-SEC-024</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Penetration testing conducted prior to public launch and bi-annually thereafter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Pen testing</w:t>
            </w:r>
          </w:p>
        </w:tc>
      </w:tr>
    </w:tbl>
    <w:p>
      <w:r>
        <w:br w:type="page"/>
      </w:r>
    </w:p>
    <w:p>
      <w:pPr>
        <w:pStyle w:val="Heading1"/>
        <w:pBdr>
          <w:bottom w:val="single" w:color="F0A500" w:sz="4"/>
        </w:pBdr>
        <w:shd w:fill="1E2A4A" w:val="clear"/>
        <w:spacing w:before="360" w:after="160"/>
        <w:ind w:left="200" w:right="200"/>
      </w:pPr>
      <w:r>
        <w:rPr>
          <w:rFonts w:ascii="Arial" w:cs="Arial" w:eastAsia="Arial" w:hAnsi="Arial"/>
          <w:b/>
          <w:bCs/>
          <w:color w:val="FFFFFF"/>
          <w:sz w:val="30"/>
          <w:szCs w:val="30"/>
        </w:rPr>
        <w:t xml:space="preserve">11. Admin Dashboard</w:t>
      </w:r>
    </w:p>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11.1 Platform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FR-ADM-010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Admin can view all users (students and institutions) with account status and subscription tier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User management</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FR-ADM-011</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Admin can verify, approve, suspend, or terminate institutional accounts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Account lifecycle</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FR-ADM-012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Admin can moderate opportunity listings: approve, flag, remove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Listing moderation</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FR-ADM-013</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Admin manages scholarship verification workflow for philanthropist accounts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Scholarship moderation</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FR-ADM-014</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Admin can issue system-wide notifications and announcements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Broadcast</w:t>
            </w:r>
          </w:p>
        </w:tc>
      </w:tr>
    </w:tbl>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11.2 Analytics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FR-ADM-020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Platform overview dashboard: total users, active subscribers, applications submitted, revenue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KPI dashboard</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FR-ADM-021</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Opportunity analytics: views, applications per listing, conversion rates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Listing analytics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FR-ADM-022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Subscription revenue analytics: MRR, ARR, churn rate, plan distribution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Revenue analytics</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FR-ADM-023</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User cohort analysis: registration sources, profile completion rates, engagement funnel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Cohort analysis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FR-ADM-024</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A56DB"/>
                <w:sz w:val="18"/>
                <w:szCs w:val="18"/>
              </w:rPr>
              <w:t xml:space="preserve">COULD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Automated weekly and monthly reports emailed to admin stakeholders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Scheduled reports</w:t>
            </w:r>
          </w:p>
        </w:tc>
      </w:tr>
    </w:tbl>
    <w:p>
      <w:r>
        <w:br w:type="page"/>
      </w:r>
    </w:p>
    <w:p>
      <w:pPr>
        <w:pStyle w:val="Heading1"/>
        <w:pBdr>
          <w:bottom w:val="single" w:color="F0A500" w:sz="4"/>
        </w:pBdr>
        <w:shd w:fill="1E2A4A" w:val="clear"/>
        <w:spacing w:before="360" w:after="160"/>
        <w:ind w:left="200" w:right="200"/>
      </w:pPr>
      <w:r>
        <w:rPr>
          <w:rFonts w:ascii="Arial" w:cs="Arial" w:eastAsia="Arial" w:hAnsi="Arial"/>
          <w:b/>
          <w:bCs/>
          <w:color w:val="FFFFFF"/>
          <w:sz w:val="30"/>
          <w:szCs w:val="30"/>
        </w:rPr>
        <w:t xml:space="preserve">12. Non-Functional Requirements</w:t>
      </w:r>
    </w:p>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12.1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NFR-001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Web page load time &lt; 3 seconds on 4G mobile connection for key pages (homepage, scholarship listing, profile)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Load time</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NFR-002</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API response time &lt; 500ms for 95th percentile of requests under normal load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API latency</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NFR-003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System must support 10,000 concurrent users at launch with horizontal scalability to 100,000+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Scalability</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NFR-004</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Matching engine returns results within 2 seconds for a full UAP evaluation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Matching speed</w:t>
            </w:r>
          </w:p>
        </w:tc>
      </w:tr>
    </w:tbl>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12.2 Availability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NFR-010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99.5% uptime SLA for production environment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Uptime SLA</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NFR-011</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Automated health monitoring and alerting for all critical services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Monitoring</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NFR-012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Zero-downtime deployment strategy using blue-green or rolling deployments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Deployment</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NFR-013</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Disaster recovery plan with Recovery Time Objective (RTO) &lt; 4 hours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DR plan</w:t>
            </w:r>
          </w:p>
        </w:tc>
      </w:tr>
    </w:tbl>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12.3 Localisation &amp; Internationalisation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4680"/>
        <w:gridCol w:w="180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 ID</w:t>
            </w:r>
          </w:p>
        </w:tc>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6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8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NFR-020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C0000"/>
                <w:sz w:val="18"/>
                <w:szCs w:val="18"/>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Support English and Bahasa Malaysia at launch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i18n - Phase 1</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NFR-021</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i18n architecture supporting additional ASEAN languages: Thai, Vietnamese, Indonesian, Filipino</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i18n - Phase 2</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NFR-022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07000"/>
                <w:sz w:val="18"/>
                <w:szCs w:val="18"/>
              </w:rPr>
              <w:t xml:space="preserve">SHOULD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Currency display configurable per region (MYR, SGD, USD, GBP)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Multi-currency display</w:t>
            </w:r>
          </w:p>
        </w:tc>
      </w:tr>
      <w:tr>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NFR-023</w:t>
            </w:r>
          </w:p>
        </w:tc>
        <w:tc>
          <w:tcPr>
            <w:tcW w:type="dxa" w:w="144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1A56DB"/>
                <w:sz w:val="18"/>
                <w:szCs w:val="18"/>
              </w:rPr>
              <w:t xml:space="preserve">COULD</w:t>
            </w:r>
          </w:p>
        </w:tc>
        <w:tc>
          <w:tcPr>
            <w:tcW w:type="dxa" w:w="46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Right-to-left (RTL) layout support for Arabic market expansion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RTL</w:t>
            </w:r>
          </w:p>
        </w:tc>
      </w:tr>
    </w:tbl>
    <w:p>
      <w:r>
        <w:br w:type="page"/>
      </w:r>
    </w:p>
    <w:p>
      <w:pPr>
        <w:pStyle w:val="Heading1"/>
        <w:pBdr>
          <w:bottom w:val="single" w:color="F0A500" w:sz="4"/>
        </w:pBdr>
        <w:shd w:fill="1E2A4A" w:val="clear"/>
        <w:spacing w:before="360" w:after="160"/>
        <w:ind w:left="200" w:right="200"/>
      </w:pPr>
      <w:r>
        <w:rPr>
          <w:rFonts w:ascii="Arial" w:cs="Arial" w:eastAsia="Arial" w:hAnsi="Arial"/>
          <w:b/>
          <w:bCs/>
          <w:color w:val="FFFFFF"/>
          <w:sz w:val="30"/>
          <w:szCs w:val="30"/>
        </w:rPr>
        <w:t xml:space="preserve">13. Future Roadmap &amp; Phase Planning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56DB" w:sz="2"/>
              <w:left w:val="single" w:color="1A56DB" w:sz="2"/>
              <w:bottom w:val="single" w:color="1A56DB" w:sz="2"/>
              <w:right w:val="single" w:color="1A56DB" w:sz="2"/>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Vision</w:t>
            </w:r>
          </w:p>
        </w:tc>
        <w:tc>
          <w:tcPr>
            <w:tcW w:type="dxa" w:w="8160"/>
            <w:tcBorders>
              <w:top w:val="single" w:color="1A56DB" w:sz="2"/>
              <w:left w:val="single" w:color="1A56DB" w:sz="2"/>
              <w:bottom w:val="single" w:color="1A56DB" w:sz="2"/>
              <w:right w:val="single" w:color="1A56DB" w:sz="2"/>
            </w:tcBorders>
            <w:shd w:fill="EBF2FF" w:val="clear"/>
            <w:tcMar>
              <w:top w:type="dxa" w:w="80"/>
              <w:left w:type="dxa" w:w="160"/>
              <w:bottom w:type="dxa" w:w="80"/>
              <w:right w:type="dxa" w:w="120"/>
            </w:tcMar>
          </w:tcPr>
          <w:p>
            <w:r>
              <w:rPr>
                <w:rFonts w:ascii="Arial" w:cs="Arial" w:eastAsia="Arial" w:hAnsi="Arial"/>
                <w:color w:val="1E2A4A"/>
                <w:sz w:val="19"/>
                <w:szCs w:val="19"/>
              </w:rPr>
              <w:t xml:space="preserve">Pathfindr's long-term goal is to become the leading student opportunity ecosystem in Southeast Asia — connecting students across the region to global education and career pathways.</w:t>
            </w:r>
          </w:p>
        </w:tc>
      </w:tr>
    </w:tbl>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13.1 Phase 1 — MVP (Months 1–6)</w:t>
      </w:r>
    </w:p>
    <w:p>
      <w:pPr>
        <w:pStyle w:val="ListParagraph"/>
        <w:numPr>
          <w:ilvl w:val="0"/>
          <w:numId w:val="2"/>
        </w:numPr>
        <w:spacing w:before="40" w:after="40"/>
      </w:pPr>
      <w:r>
        <w:rPr>
          <w:rFonts w:ascii="Arial" w:cs="Arial" w:eastAsia="Arial" w:hAnsi="Arial"/>
          <w:color w:val="555555"/>
          <w:sz w:val="20"/>
          <w:szCs w:val="20"/>
        </w:rPr>
        <w:t xml:space="preserve">Unified Academic Profile (UAP) creation and management</w:t>
      </w:r>
    </w:p>
    <w:p>
      <w:pPr>
        <w:pStyle w:val="ListParagraph"/>
        <w:numPr>
          <w:ilvl w:val="0"/>
          <w:numId w:val="2"/>
        </w:numPr>
        <w:spacing w:before="40" w:after="40"/>
      </w:pPr>
      <w:r>
        <w:rPr>
          <w:rFonts w:ascii="Arial" w:cs="Arial" w:eastAsia="Arial" w:hAnsi="Arial"/>
          <w:color w:val="555555"/>
          <w:sz w:val="20"/>
          <w:szCs w:val="20"/>
        </w:rPr>
        <w:t xml:space="preserve">Scholarship Marketplace — manual browse and apply</w:t>
      </w:r>
    </w:p>
    <w:p>
      <w:pPr>
        <w:pStyle w:val="ListParagraph"/>
        <w:numPr>
          <w:ilvl w:val="0"/>
          <w:numId w:val="2"/>
        </w:numPr>
        <w:spacing w:before="40" w:after="40"/>
      </w:pPr>
      <w:r>
        <w:rPr>
          <w:rFonts w:ascii="Arial" w:cs="Arial" w:eastAsia="Arial" w:hAnsi="Arial"/>
          <w:color w:val="555555"/>
          <w:sz w:val="20"/>
          <w:szCs w:val="20"/>
        </w:rPr>
        <w:t xml:space="preserve">University Programme Discovery</w:t>
      </w:r>
    </w:p>
    <w:p>
      <w:pPr>
        <w:pStyle w:val="ListParagraph"/>
        <w:numPr>
          <w:ilvl w:val="0"/>
          <w:numId w:val="2"/>
        </w:numPr>
        <w:spacing w:before="40" w:after="40"/>
      </w:pPr>
      <w:r>
        <w:rPr>
          <w:rFonts w:ascii="Arial" w:cs="Arial" w:eastAsia="Arial" w:hAnsi="Arial"/>
          <w:color w:val="555555"/>
          <w:sz w:val="20"/>
          <w:szCs w:val="20"/>
        </w:rPr>
        <w:t xml:space="preserve">Basic smart notifications</w:t>
      </w:r>
    </w:p>
    <w:p>
      <w:pPr>
        <w:pStyle w:val="ListParagraph"/>
        <w:numPr>
          <w:ilvl w:val="0"/>
          <w:numId w:val="2"/>
        </w:numPr>
        <w:spacing w:before="40" w:after="40"/>
      </w:pPr>
      <w:r>
        <w:rPr>
          <w:rFonts w:ascii="Arial" w:cs="Arial" w:eastAsia="Arial" w:hAnsi="Arial"/>
          <w:color w:val="555555"/>
          <w:sz w:val="20"/>
          <w:szCs w:val="20"/>
        </w:rPr>
        <w:t xml:space="preserve">Student subscription tier (Free + Premium)</w:t>
      </w:r>
    </w:p>
    <w:p>
      <w:pPr>
        <w:pStyle w:val="ListParagraph"/>
        <w:numPr>
          <w:ilvl w:val="0"/>
          <w:numId w:val="2"/>
        </w:numPr>
        <w:spacing w:before="40" w:after="40"/>
      </w:pPr>
      <w:r>
        <w:rPr>
          <w:rFonts w:ascii="Arial" w:cs="Arial" w:eastAsia="Arial" w:hAnsi="Arial"/>
          <w:color w:val="555555"/>
          <w:sz w:val="20"/>
          <w:szCs w:val="20"/>
        </w:rPr>
        <w:t xml:space="preserve">Auto-Apply engine for scholarships (premium)</w:t>
      </w:r>
    </w:p>
    <w:p>
      <w:pPr>
        <w:pStyle w:val="ListParagraph"/>
        <w:numPr>
          <w:ilvl w:val="0"/>
          <w:numId w:val="2"/>
        </w:numPr>
        <w:spacing w:before="40" w:after="40"/>
      </w:pPr>
      <w:r>
        <w:rPr>
          <w:rFonts w:ascii="Arial" w:cs="Arial" w:eastAsia="Arial" w:hAnsi="Arial"/>
          <w:color w:val="555555"/>
          <w:sz w:val="20"/>
          <w:szCs w:val="20"/>
        </w:rPr>
        <w:t xml:space="preserve">Web App (React JS) + Mobile App (React Native) launch</w:t>
      </w:r>
    </w:p>
    <w:p>
      <w:pPr>
        <w:pStyle w:val="ListParagraph"/>
        <w:numPr>
          <w:ilvl w:val="0"/>
          <w:numId w:val="2"/>
        </w:numPr>
        <w:spacing w:before="40" w:after="40"/>
      </w:pPr>
      <w:r>
        <w:rPr>
          <w:rFonts w:ascii="Arial" w:cs="Arial" w:eastAsia="Arial" w:hAnsi="Arial"/>
          <w:color w:val="555555"/>
          <w:sz w:val="20"/>
          <w:szCs w:val="20"/>
        </w:rPr>
        <w:t xml:space="preserve">Admin dashboard — user management and moderation</w:t>
      </w:r>
    </w:p>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13.2 Phase 2 — Growth (Months 7–12)</w:t>
      </w:r>
    </w:p>
    <w:p>
      <w:pPr>
        <w:pStyle w:val="ListParagraph"/>
        <w:numPr>
          <w:ilvl w:val="0"/>
          <w:numId w:val="2"/>
        </w:numPr>
        <w:spacing w:before="40" w:after="40"/>
      </w:pPr>
      <w:r>
        <w:rPr>
          <w:rFonts w:ascii="Arial" w:cs="Arial" w:eastAsia="Arial" w:hAnsi="Arial"/>
          <w:color w:val="555555"/>
          <w:sz w:val="20"/>
          <w:szCs w:val="20"/>
        </w:rPr>
        <w:t xml:space="preserve">Internship &amp; Job Marketplace</w:t>
      </w:r>
    </w:p>
    <w:p>
      <w:pPr>
        <w:pStyle w:val="ListParagraph"/>
        <w:numPr>
          <w:ilvl w:val="0"/>
          <w:numId w:val="2"/>
        </w:numPr>
        <w:spacing w:before="40" w:after="40"/>
      </w:pPr>
      <w:r>
        <w:rPr>
          <w:rFonts w:ascii="Arial" w:cs="Arial" w:eastAsia="Arial" w:hAnsi="Arial"/>
          <w:color w:val="555555"/>
          <w:sz w:val="20"/>
          <w:szCs w:val="20"/>
        </w:rPr>
        <w:t xml:space="preserve">Employer and university institutional accounts</w:t>
      </w:r>
    </w:p>
    <w:p>
      <w:pPr>
        <w:pStyle w:val="ListParagraph"/>
        <w:numPr>
          <w:ilvl w:val="0"/>
          <w:numId w:val="2"/>
        </w:numPr>
        <w:spacing w:before="40" w:after="40"/>
      </w:pPr>
      <w:r>
        <w:rPr>
          <w:rFonts w:ascii="Arial" w:cs="Arial" w:eastAsia="Arial" w:hAnsi="Arial"/>
          <w:color w:val="555555"/>
          <w:sz w:val="20"/>
          <w:szCs w:val="20"/>
        </w:rPr>
        <w:t xml:space="preserve">Philanthropist / Individual Scholarship module</w:t>
      </w:r>
    </w:p>
    <w:p>
      <w:pPr>
        <w:pStyle w:val="ListParagraph"/>
        <w:numPr>
          <w:ilvl w:val="0"/>
          <w:numId w:val="2"/>
        </w:numPr>
        <w:spacing w:before="40" w:after="40"/>
      </w:pPr>
      <w:r>
        <w:rPr>
          <w:rFonts w:ascii="Arial" w:cs="Arial" w:eastAsia="Arial" w:hAnsi="Arial"/>
          <w:color w:val="555555"/>
          <w:sz w:val="20"/>
          <w:szCs w:val="20"/>
        </w:rPr>
        <w:t xml:space="preserve">AI-powered matching engine refinement with feedback loops</w:t>
      </w:r>
    </w:p>
    <w:p>
      <w:pPr>
        <w:pStyle w:val="ListParagraph"/>
        <w:numPr>
          <w:ilvl w:val="0"/>
          <w:numId w:val="2"/>
        </w:numPr>
        <w:spacing w:before="40" w:after="40"/>
      </w:pPr>
      <w:r>
        <w:rPr>
          <w:rFonts w:ascii="Arial" w:cs="Arial" w:eastAsia="Arial" w:hAnsi="Arial"/>
          <w:color w:val="555555"/>
          <w:sz w:val="20"/>
          <w:szCs w:val="20"/>
        </w:rPr>
        <w:t xml:space="preserve">Bahasa Malaysia localisation</w:t>
      </w:r>
    </w:p>
    <w:p>
      <w:pPr>
        <w:pStyle w:val="ListParagraph"/>
        <w:numPr>
          <w:ilvl w:val="0"/>
          <w:numId w:val="2"/>
        </w:numPr>
        <w:spacing w:before="40" w:after="40"/>
      </w:pPr>
      <w:r>
        <w:rPr>
          <w:rFonts w:ascii="Arial" w:cs="Arial" w:eastAsia="Arial" w:hAnsi="Arial"/>
          <w:color w:val="555555"/>
          <w:sz w:val="20"/>
          <w:szCs w:val="20"/>
        </w:rPr>
        <w:t xml:space="preserve">Payment gateway expansion (FPX, Apple Pay, Google Pay)</w:t>
      </w:r>
    </w:p>
    <w:p>
      <w:pPr>
        <w:pStyle w:val="ListParagraph"/>
        <w:numPr>
          <w:ilvl w:val="0"/>
          <w:numId w:val="2"/>
        </w:numPr>
        <w:spacing w:before="40" w:after="40"/>
      </w:pPr>
      <w:r>
        <w:rPr>
          <w:rFonts w:ascii="Arial" w:cs="Arial" w:eastAsia="Arial" w:hAnsi="Arial"/>
          <w:color w:val="555555"/>
          <w:sz w:val="20"/>
          <w:szCs w:val="20"/>
        </w:rPr>
        <w:t xml:space="preserve">Analytics and BI dashboards</w:t>
      </w:r>
    </w:p>
    <w:p>
      <w:pPr>
        <w:spacing w:before="80" w:after="80"/>
      </w:pPr>
      <w:r>
        <w:t xml:space="preserve"/>
      </w:r>
    </w:p>
    <w:p>
      <w:pPr>
        <w:pStyle w:val="Heading2"/>
        <w:pBdr>
          <w:bottom w:val="single" w:color="1A56DB" w:sz="3"/>
        </w:pBdr>
        <w:spacing w:before="300" w:after="120"/>
      </w:pPr>
      <w:r>
        <w:rPr>
          <w:rFonts w:ascii="Arial" w:cs="Arial" w:eastAsia="Arial" w:hAnsi="Arial"/>
          <w:b/>
          <w:bCs/>
          <w:color w:val="1E2A4A"/>
          <w:sz w:val="26"/>
          <w:szCs w:val="26"/>
        </w:rPr>
        <w:t xml:space="preserve">13.3 Phase 3 — Expansion (Year 2+)</w:t>
      </w:r>
    </w:p>
    <w:p>
      <w:pPr>
        <w:pStyle w:val="ListParagraph"/>
        <w:numPr>
          <w:ilvl w:val="0"/>
          <w:numId w:val="2"/>
        </w:numPr>
        <w:spacing w:before="40" w:after="40"/>
      </w:pPr>
      <w:r>
        <w:rPr>
          <w:rFonts w:ascii="Arial" w:cs="Arial" w:eastAsia="Arial" w:hAnsi="Arial"/>
          <w:color w:val="555555"/>
          <w:sz w:val="20"/>
          <w:szCs w:val="20"/>
        </w:rPr>
        <w:t xml:space="preserve">ASEAN regional expansion: Singapore, Indonesia, Thailand, Vietnam, Philippines</w:t>
      </w:r>
    </w:p>
    <w:p>
      <w:pPr>
        <w:pStyle w:val="ListParagraph"/>
        <w:numPr>
          <w:ilvl w:val="0"/>
          <w:numId w:val="2"/>
        </w:numPr>
        <w:spacing w:before="40" w:after="40"/>
      </w:pPr>
      <w:r>
        <w:rPr>
          <w:rFonts w:ascii="Arial" w:cs="Arial" w:eastAsia="Arial" w:hAnsi="Arial"/>
          <w:color w:val="555555"/>
          <w:sz w:val="20"/>
          <w:szCs w:val="20"/>
        </w:rPr>
        <w:t xml:space="preserve">Multi-language support (Bahasa Indonesia, Thai, Vietnamese, Filipino)</w:t>
      </w:r>
    </w:p>
    <w:p>
      <w:pPr>
        <w:pStyle w:val="ListParagraph"/>
        <w:numPr>
          <w:ilvl w:val="0"/>
          <w:numId w:val="2"/>
        </w:numPr>
        <w:spacing w:before="40" w:after="40"/>
      </w:pPr>
      <w:r>
        <w:rPr>
          <w:rFonts w:ascii="Arial" w:cs="Arial" w:eastAsia="Arial" w:hAnsi="Arial"/>
          <w:color w:val="555555"/>
          <w:sz w:val="20"/>
          <w:szCs w:val="20"/>
        </w:rPr>
        <w:t xml:space="preserve">University application portal deep integration</w:t>
      </w:r>
    </w:p>
    <w:p>
      <w:pPr>
        <w:pStyle w:val="ListParagraph"/>
        <w:numPr>
          <w:ilvl w:val="0"/>
          <w:numId w:val="2"/>
        </w:numPr>
        <w:spacing w:before="40" w:after="40"/>
      </w:pPr>
      <w:r>
        <w:rPr>
          <w:rFonts w:ascii="Arial" w:cs="Arial" w:eastAsia="Arial" w:hAnsi="Arial"/>
          <w:color w:val="555555"/>
          <w:sz w:val="20"/>
          <w:szCs w:val="20"/>
        </w:rPr>
        <w:t xml:space="preserve">AI essay and personal statement writing assistant</w:t>
      </w:r>
    </w:p>
    <w:p>
      <w:pPr>
        <w:pStyle w:val="ListParagraph"/>
        <w:numPr>
          <w:ilvl w:val="0"/>
          <w:numId w:val="2"/>
        </w:numPr>
        <w:spacing w:before="40" w:after="40"/>
      </w:pPr>
      <w:r>
        <w:rPr>
          <w:rFonts w:ascii="Arial" w:cs="Arial" w:eastAsia="Arial" w:hAnsi="Arial"/>
          <w:color w:val="555555"/>
          <w:sz w:val="20"/>
          <w:szCs w:val="20"/>
        </w:rPr>
        <w:t xml:space="preserve">Corporate CSR and tax reporting module</w:t>
      </w:r>
    </w:p>
    <w:p>
      <w:pPr>
        <w:pStyle w:val="ListParagraph"/>
        <w:numPr>
          <w:ilvl w:val="0"/>
          <w:numId w:val="2"/>
        </w:numPr>
        <w:spacing w:before="40" w:after="40"/>
      </w:pPr>
      <w:r>
        <w:rPr>
          <w:rFonts w:ascii="Arial" w:cs="Arial" w:eastAsia="Arial" w:hAnsi="Arial"/>
          <w:color w:val="555555"/>
          <w:sz w:val="20"/>
          <w:szCs w:val="20"/>
        </w:rPr>
        <w:t xml:space="preserve">Advertising platform for education services</w:t>
      </w:r>
    </w:p>
    <w:p>
      <w:pPr>
        <w:pStyle w:val="ListParagraph"/>
        <w:numPr>
          <w:ilvl w:val="0"/>
          <w:numId w:val="2"/>
        </w:numPr>
        <w:spacing w:before="40" w:after="40"/>
      </w:pPr>
      <w:r>
        <w:rPr>
          <w:rFonts w:ascii="Arial" w:cs="Arial" w:eastAsia="Arial" w:hAnsi="Arial"/>
          <w:color w:val="555555"/>
          <w:sz w:val="20"/>
          <w:szCs w:val="20"/>
        </w:rPr>
        <w:t xml:space="preserve">White-label institutional portal options</w:t>
      </w:r>
    </w:p>
    <w:p>
      <w:r>
        <w:br w:type="page"/>
      </w:r>
    </w:p>
    <w:p>
      <w:pPr>
        <w:pStyle w:val="Heading1"/>
        <w:pBdr>
          <w:bottom w:val="single" w:color="F0A500" w:sz="4"/>
        </w:pBdr>
        <w:shd w:fill="1E2A4A" w:val="clear"/>
        <w:spacing w:before="360" w:after="160"/>
        <w:ind w:left="200" w:right="200"/>
      </w:pPr>
      <w:r>
        <w:rPr>
          <w:rFonts w:ascii="Arial" w:cs="Arial" w:eastAsia="Arial" w:hAnsi="Arial"/>
          <w:b/>
          <w:bCs/>
          <w:color w:val="FFFFFF"/>
          <w:sz w:val="30"/>
          <w:szCs w:val="30"/>
        </w:rPr>
        <w:t xml:space="preserve">14. Glossary of Terms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48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A4A"/>
                <w:sz w:val="18"/>
                <w:szCs w:val="18"/>
              </w:rPr>
              <w:t xml:space="preserve">UAP</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Unified Academic Profile — the student's digital education resume that powers Auto-Apply and matching</w:t>
            </w:r>
          </w:p>
        </w:tc>
      </w:tr>
      <w:tr>
        <w:tc>
          <w:tcPr>
            <w:tcW w:type="dxa" w:w="28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1E2A4A"/>
                <w:sz w:val="18"/>
                <w:szCs w:val="18"/>
              </w:rPr>
              <w:t xml:space="preserve">Auto-Apply</w:t>
            </w:r>
          </w:p>
        </w:tc>
        <w:tc>
          <w:tcPr>
            <w:tcW w:type="dxa" w:w="64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Automated submission of a student's application to eligible opportunities on their behalf, without manual input per application</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A4A"/>
                <w:sz w:val="18"/>
                <w:szCs w:val="18"/>
              </w:rPr>
              <w:t xml:space="preserve">Matching Engine</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The AI/rules-based algorithm that evaluates a student's UAP against opportunity criteria and generates a match score</w:t>
            </w:r>
          </w:p>
        </w:tc>
      </w:tr>
      <w:tr>
        <w:tc>
          <w:tcPr>
            <w:tcW w:type="dxa" w:w="28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1E2A4A"/>
                <w:sz w:val="18"/>
                <w:szCs w:val="18"/>
              </w:rPr>
              <w:t xml:space="preserve">SFR</w:t>
            </w:r>
          </w:p>
        </w:tc>
        <w:tc>
          <w:tcPr>
            <w:tcW w:type="dxa" w:w="64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System Functional Requirements — this document</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A4A"/>
                <w:sz w:val="18"/>
                <w:szCs w:val="18"/>
              </w:rPr>
              <w:t xml:space="preserve">RBAC</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Role-Based Access Control — access permissions assigned based on the user's role in the system</w:t>
            </w:r>
          </w:p>
        </w:tc>
      </w:tr>
      <w:tr>
        <w:tc>
          <w:tcPr>
            <w:tcW w:type="dxa" w:w="28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1E2A4A"/>
                <w:sz w:val="18"/>
                <w:szCs w:val="18"/>
              </w:rPr>
              <w:t xml:space="preserve">MRR</w:t>
            </w:r>
          </w:p>
        </w:tc>
        <w:tc>
          <w:tcPr>
            <w:tcW w:type="dxa" w:w="64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Monthly Recurring Revenue — a key subscription business metric</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A4A"/>
                <w:sz w:val="18"/>
                <w:szCs w:val="18"/>
              </w:rPr>
              <w:t xml:space="preserve">FPX</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Financial Process Exchange — Malaysia's online banking payment gateway</w:t>
            </w:r>
          </w:p>
        </w:tc>
      </w:tr>
      <w:tr>
        <w:tc>
          <w:tcPr>
            <w:tcW w:type="dxa" w:w="28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1E2A4A"/>
                <w:sz w:val="18"/>
                <w:szCs w:val="18"/>
              </w:rPr>
              <w:t xml:space="preserve">PDPA</w:t>
            </w:r>
          </w:p>
        </w:tc>
        <w:tc>
          <w:tcPr>
            <w:tcW w:type="dxa" w:w="64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Personal Data Protection Act 2010 — Malaysia's data protection law</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A4A"/>
                <w:sz w:val="18"/>
                <w:szCs w:val="18"/>
              </w:rPr>
              <w:t xml:space="preserve">CSR</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Corporate Social Responsibility — business practice of giving back, relevant to scholarship sponsorship</w:t>
            </w:r>
          </w:p>
        </w:tc>
      </w:tr>
      <w:tr>
        <w:tc>
          <w:tcPr>
            <w:tcW w:type="dxa" w:w="28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1E2A4A"/>
                <w:sz w:val="18"/>
                <w:szCs w:val="18"/>
              </w:rPr>
              <w:t xml:space="preserve">KYC/KYB</w:t>
            </w:r>
          </w:p>
        </w:tc>
        <w:tc>
          <w:tcPr>
            <w:tcW w:type="dxa" w:w="64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Know Your Customer / Know Your Business — identity verification processes for user and institutional onboarding</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A4A"/>
                <w:sz w:val="18"/>
                <w:szCs w:val="18"/>
              </w:rPr>
              <w:t xml:space="preserve">CGPA</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Cumulative Grade Point Average — a standard academic performance metric</w:t>
            </w:r>
          </w:p>
        </w:tc>
      </w:tr>
      <w:tr>
        <w:tc>
          <w:tcPr>
            <w:tcW w:type="dxa" w:w="28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1E2A4A"/>
                <w:sz w:val="18"/>
                <w:szCs w:val="18"/>
              </w:rPr>
              <w:t xml:space="preserve">FCM / APNs</w:t>
            </w:r>
          </w:p>
        </w:tc>
        <w:tc>
          <w:tcPr>
            <w:tcW w:type="dxa" w:w="64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Firebase Cloud Messaging / Apple Push Notification Service — mobile push notification infrastructure</w:t>
            </w:r>
          </w:p>
        </w:tc>
      </w:tr>
      <w:tr>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E2A4A"/>
                <w:sz w:val="18"/>
                <w:szCs w:val="18"/>
              </w:rPr>
              <w:t xml:space="preserve">SSR / SSG</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55555"/>
                <w:sz w:val="18"/>
                <w:szCs w:val="18"/>
              </w:rPr>
              <w:t xml:space="preserve">Server-Side Rendering / Static Site Generation — web rendering strategies for performance and SEO</w:t>
            </w:r>
          </w:p>
        </w:tc>
      </w:tr>
      <w:tr>
        <w:tc>
          <w:tcPr>
            <w:tcW w:type="dxa" w:w="28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bCs/>
                <w:color w:val="1E2A4A"/>
                <w:sz w:val="18"/>
                <w:szCs w:val="18"/>
              </w:rPr>
              <w:t xml:space="preserve">ASEAN</w:t>
            </w:r>
          </w:p>
        </w:tc>
        <w:tc>
          <w:tcPr>
            <w:tcW w:type="dxa" w:w="648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b w:val="false"/>
                <w:bCs w:val="false"/>
                <w:color w:val="555555"/>
                <w:sz w:val="18"/>
                <w:szCs w:val="18"/>
              </w:rPr>
              <w:t xml:space="preserve">Association of Southeast Asian Nations — the target regional market for Pathfindr's expansion</w:t>
            </w:r>
          </w:p>
        </w:tc>
      </w:tr>
    </w:tbl>
    <w:p>
      <w:pPr>
        <w:spacing w:before="80" w:after="80"/>
      </w:pPr>
      <w:r>
        <w:t xml:space="preserve"/>
      </w:r>
    </w:p>
    <w:p>
      <w:pPr>
        <w:spacing w:before="80" w:after="80"/>
      </w:pPr>
      <w:r>
        <w:t xml:space="preserve"/>
      </w:r>
    </w:p>
    <w:p>
      <w:pPr>
        <w:pStyle w:val="Heading1"/>
        <w:pBdr>
          <w:bottom w:val="single" w:color="F0A500" w:sz="4"/>
        </w:pBdr>
        <w:shd w:fill="1E2A4A" w:val="clear"/>
        <w:spacing w:before="360" w:after="160"/>
        <w:ind w:left="200" w:right="200"/>
      </w:pPr>
      <w:r>
        <w:rPr>
          <w:rFonts w:ascii="Arial" w:cs="Arial" w:eastAsia="Arial" w:hAnsi="Arial"/>
          <w:b/>
          <w:bCs/>
          <w:color w:val="FFFFFF"/>
          <w:sz w:val="30"/>
          <w:szCs w:val="30"/>
        </w:rPr>
        <w:t xml:space="preserve">Document Control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00"/>
        <w:gridCol w:w="2000"/>
        <w:gridCol w:w="3920"/>
      </w:tblGrid>
      <w:tr>
        <w:trPr>
          <w:tblHeader/>
        </w:trPr>
        <w:tc>
          <w:tcPr>
            <w:tcW w:type="dxa" w:w="144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20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00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Author</w:t>
            </w:r>
          </w:p>
        </w:tc>
        <w:tc>
          <w:tcPr>
            <w:tcW w:type="dxa" w:w="3920"/>
            <w:tcBorders>
              <w:top w:val="single" w:color="CCCCCC" w:sz="1"/>
              <w:left w:val="single" w:color="CCCCCC" w:sz="1"/>
              <w:bottom w:val="single" w:color="CCCCCC" w:sz="1"/>
              <w:right w:val="single" w:color="CCCCCC" w:sz="1"/>
            </w:tcBorders>
            <w:shd w:fill="1E2A4A" w:val="clear"/>
            <w:tcMar>
              <w:top w:type="dxa" w:w="80"/>
              <w:left w:type="dxa" w:w="120"/>
              <w:bottom w:type="dxa" w:w="80"/>
              <w:right w:type="dxa" w:w="120"/>
            </w:tcMar>
          </w:tcPr>
          <w:p>
            <w:r>
              <w:rPr>
                <w:rFonts w:ascii="Arial" w:cs="Arial" w:eastAsia="Arial" w:hAnsi="Arial"/>
                <w:b/>
                <w:bCs/>
                <w:color w:val="FFFFFF"/>
                <w:sz w:val="18"/>
                <w:szCs w:val="18"/>
              </w:rPr>
              <w:t xml:space="preserve">Change Summary</w:t>
            </w:r>
          </w:p>
        </w:tc>
      </w:tr>
      <w:tr>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18"/>
                <w:szCs w:val="18"/>
              </w:rPr>
              <w:t xml:space="preserve">1.0</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18"/>
                <w:szCs w:val="18"/>
              </w:rPr>
              <w:t xml:space="preserve">March 2026</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18"/>
                <w:szCs w:val="18"/>
              </w:rPr>
              <w:t xml:space="preserve">Pathfindr Team</w:t>
            </w:r>
          </w:p>
        </w:tc>
        <w:tc>
          <w:tcPr>
            <w:tcW w:type="dxa" w:w="39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18"/>
                <w:szCs w:val="18"/>
              </w:rPr>
              <w:t xml:space="preserve">Initial draft — full system functional requirements specification</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tabs>
        <w:tab w:val="right" w:pos="9026"/>
      </w:tabs>
    </w:pPr>
    <w:r>
      <w:rPr>
        <w:rFonts w:ascii="Arial" w:cs="Arial" w:eastAsia="Arial" w:hAnsi="Arial"/>
        <w:color w:val="555555"/>
        <w:sz w:val="16"/>
        <w:szCs w:val="16"/>
      </w:rPr>
      <w:t xml:space="preserve">Pathfindr | Student Opportunity Platform</w:t>
    </w:r>
    <w:r>
      <w:rPr>
        <w:rFonts w:ascii="Arial" w:cs="Arial" w:eastAsia="Arial" w:hAnsi="Arial"/>
        <w:sz w:val="16"/>
        <w:szCs w:val="16"/>
      </w:rPr>
      <w:t xml:space="preserve">	</w:t>
    </w: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left w:val="none"/>
            <w:bottom w:val="single" w:color="1A56DB" w:sz="4"/>
            <w:right w:val="none"/>
          </w:tcBorders>
        </w:tcPr>
        <w:p>
          <w:r>
            <w:rPr>
              <w:rFonts w:ascii="Arial" w:cs="Arial" w:eastAsia="Arial" w:hAnsi="Arial"/>
              <w:b/>
              <w:bCs/>
              <w:color w:val="1A56DB"/>
              <w:sz w:val="22"/>
              <w:szCs w:val="22"/>
            </w:rPr>
            <w:t xml:space="preserve">PATHFINDR</w:t>
          </w:r>
          <w:r>
            <w:rPr>
              <w:rFonts w:ascii="Arial" w:cs="Arial" w:eastAsia="Arial" w:hAnsi="Arial"/>
              <w:color w:val="555555"/>
              <w:sz w:val="18"/>
              <w:szCs w:val="18"/>
            </w:rPr>
            <w:t xml:space="preserve"> | System Functional Requirements</w:t>
          </w:r>
        </w:p>
      </w:tc>
      <w:tc>
        <w:tcPr>
          <w:tcW w:type="dxa" w:w="3080"/>
          <w:tcBorders>
            <w:top w:val="none"/>
            <w:left w:val="none"/>
            <w:bottom w:val="single" w:color="1A56DB" w:sz="4"/>
            <w:right w:val="none"/>
          </w:tcBorders>
        </w:tcPr>
        <w:p>
          <w:pPr>
            <w:jc w:val="right"/>
          </w:pPr>
          <w:r>
            <w:rPr>
              <w:rFonts w:ascii="Arial" w:cs="Arial" w:eastAsia="Arial" w:hAnsi="Arial"/>
              <w:color w:val="555555"/>
              <w:sz w:val="16"/>
              <w:szCs w:val="16"/>
            </w:rPr>
            <w:t xml:space="preserve">Version 1.0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FFFFFF"/>
      <w:sz w:val="30"/>
      <w:szCs w:val="30"/>
    </w:rPr>
  </w:style>
  <w:style w:type="paragraph" w:styleId="Heading2">
    <w:name w:val="Heading 2"/>
    <w:basedOn w:val="Normal"/>
    <w:next w:val="Normal"/>
    <w:qFormat/>
    <w:pPr>
      <w:spacing w:before="300" w:after="120"/>
      <w:outlineLvl w:val="1"/>
    </w:pPr>
    <w:rPr>
      <w:rFonts w:ascii="Arial" w:cs="Arial" w:eastAsia="Arial" w:hAnsi="Arial"/>
      <w:b/>
      <w:bCs/>
      <w:color w:val="1E2A4A"/>
      <w:sz w:val="26"/>
      <w:szCs w:val="26"/>
    </w:rPr>
  </w:style>
  <w:style w:type="paragraph" w:styleId="Heading3">
    <w:name w:val="Heading 3"/>
    <w:basedOn w:val="Normal"/>
    <w:next w:val="Normal"/>
    <w:qFormat/>
    <w:pPr>
      <w:spacing w:before="220" w:after="80"/>
      <w:outlineLvl w:val="2"/>
    </w:pPr>
    <w:rPr>
      <w:rFonts w:ascii="Arial" w:cs="Arial" w:eastAsia="Arial" w:hAnsi="Arial"/>
      <w:b/>
      <w:bCs/>
      <w:color w:val="1A56D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2026-03-06T15:51:27.301Z</dcterms:created>
  <dcterms:modified xsi:type="dcterms:W3CDTF">2026-03-06T15:51:27.302Z</dcterms:modified>
</cp:coreProperties>
</file>

<file path=docProps/custom.xml><?xml version="1.0" encoding="utf-8"?>
<Properties xmlns="http://schemas.openxmlformats.org/officeDocument/2006/custom-properties" xmlns:vt="http://schemas.openxmlformats.org/officeDocument/2006/docPropsVTypes"/>
</file>