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" w:hAnsi="Noto Sans" w:eastAsia="Noto Sans"/>
          <w:b/>
          <w:color w:val="1F4E78"/>
          <w:sz w:val="46"/>
        </w:rPr>
        <w:t>Wytyczne dla agenta Android</w:t>
      </w:r>
    </w:p>
    <w:p>
      <w:r>
        <w:rPr>
          <w:rFonts w:ascii="Noto Sans" w:hAnsi="Noto Sans" w:eastAsia="Noto Sans"/>
          <w:b/>
          <w:color w:val="1F2937"/>
          <w:sz w:val="22"/>
        </w:rPr>
        <w:t>Telemetria, kontrakt danych i eksport kampanii eksperymentalnej mobilnego ALPR</w:t>
      </w:r>
    </w:p>
    <w:p>
      <w:r>
        <w:rPr>
          <w:rFonts w:ascii="Noto Sans" w:hAnsi="Noto Sans" w:eastAsia="Noto Sans"/>
          <w:color w:val="6B7280"/>
          <w:sz w:val="17"/>
        </w:rPr>
        <w:t>Stan źródeł: 26.08.2026  •  Dokument roboczy do przekazania agentowi implementacyjnemu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color w:val="1F4E78"/>
                <w:sz w:val="18"/>
              </w:rPr>
              <w:t xml:space="preserve">Zakres: </w:t>
            </w:r>
            <w:r>
              <w:rPr>
                <w:rFonts w:ascii="Noto Sans" w:hAnsi="Noto Sans" w:eastAsia="Noto Sans"/>
                <w:color w:val="1F2937"/>
                <w:sz w:val="18"/>
              </w:rPr>
              <w:t>Dokument dotyczy repozytorium rszuder/alpr_mobile_client (main) oraz sposobu rozszerzenia istniejącego raportu bez niszczenia zgodności z bieżącym importerem desktopowym.</w:t>
            </w:r>
          </w:p>
        </w:tc>
      </w:tr>
    </w:tbl>
    <w:p>
      <w:pPr>
        <w:spacing w:after="0"/>
      </w:pPr>
    </w:p>
    <w:p>
      <w:pPr>
        <w:pStyle w:val="Heading1"/>
      </w:pPr>
      <w:r>
        <w:t>1. Cel agenta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Nie przebudowywać pipeline’u dla samego raportowania. </w:t>
      </w:r>
      <w:r>
        <w:rPr>
          <w:rFonts w:ascii="Noto Sans" w:hAnsi="Noto Sans" w:eastAsia="Noto Sans"/>
          <w:color w:val="1F2937"/>
          <w:sz w:val="18"/>
        </w:rPr>
        <w:t>W pierwszej kolejności wykorzystać telemetrię, którą kod już tworzy.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Dostarczyć kompletne dane surowe. </w:t>
      </w:r>
      <w:r>
        <w:rPr>
          <w:rFonts w:ascii="Noto Sans" w:hAnsi="Noto Sans" w:eastAsia="Noto Sans"/>
          <w:color w:val="1F2937"/>
          <w:sz w:val="18"/>
        </w:rPr>
        <w:t>Android jest źródłem pomiaru; Desktop ma wykonywać większość analiz, agregacji i wykresów.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Minimalizować narzut. </w:t>
      </w:r>
      <w:r>
        <w:rPr>
          <w:rFonts w:ascii="Noto Sans" w:hAnsi="Noto Sans" w:eastAsia="Noto Sans"/>
          <w:color w:val="1F2937"/>
          <w:sz w:val="18"/>
        </w:rPr>
        <w:t>Nowe pomiary nie mogą istotnie zmieniać czasu pipeline’u, który mają mierzyć.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Zachować kompatybilność. </w:t>
      </w:r>
      <w:r>
        <w:rPr>
          <w:rFonts w:ascii="Noto Sans" w:hAnsi="Noto Sans" w:eastAsia="Noto Sans"/>
          <w:color w:val="1F2937"/>
          <w:sz w:val="18"/>
        </w:rPr>
        <w:t>Istniejące report.json, traces.csv, .alprsession i alpr.mobile_benchmark_report.v1 pozostają obsługiwane.</w:t>
      </w:r>
    </w:p>
    <w:p>
      <w:pPr>
        <w:pStyle w:val="Heading1"/>
      </w:pPr>
      <w:r>
        <w:t>2. Stan aktualny – czego NIE implementować drugi raz</w:t>
      </w:r>
    </w:p>
    <w:p>
      <w:r>
        <w:rPr>
          <w:rFonts w:ascii="Noto Sans" w:hAnsi="Noto Sans" w:eastAsia="Noto Sans"/>
          <w:color w:val="1F2937"/>
          <w:sz w:val="18"/>
        </w:rPr>
        <w:t>Aktualny klient już raportuje rozbudowaną telemetrię. Należy ją zachować, ujednolicić i udostępnić Desktopowi, zamiast tworzyć równoległe liczniki.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81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Obszar</w:t>
            </w:r>
          </w:p>
        </w:tc>
        <w:tc>
          <w:tcPr>
            <w:tcW w:type="dxa" w:w="436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Już istnieje w Androidzie</w:t>
            </w:r>
          </w:p>
        </w:tc>
        <w:tc>
          <w:tcPr>
            <w:tcW w:type="dxa" w:w="31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Uwagi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Timing per frame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total, camera_conversion, MP/MT/MZ preprocess/inference/postprocess, rectification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InferenceTrace + MetricsCollector; summary p50/p90/p95/p99.</w:t>
            </w:r>
          </w:p>
        </w:tc>
      </w:tr>
      <w:tr>
        <w:trPr>
          <w:cantSplit w:val="true"/>
        </w:trPr>
        <w:tc>
          <w:tcPr>
            <w:tcW w:type="dxa" w:w="181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Timing audit</w:t>
            </w:r>
          </w:p>
        </w:tc>
        <w:tc>
          <w:tcPr>
            <w:tcW w:type="dxa" w:w="436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engine_setup, engine_total, pipeline_finalize, inference_sum, auxiliary_sum, pipeline_overhead, engine_overhead</w:t>
            </w:r>
          </w:p>
        </w:tc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Część pól jest w report.json/traces, ale nie wszystkie są w traces.csv.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Jakość wejścia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plate_fit, plate_sharpness, characters_min/mean, confidence MP/MT/MZ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Zachować surowe wartości.</w:t>
            </w:r>
          </w:p>
        </w:tc>
      </w:tr>
      <w:tr>
        <w:trPr>
          <w:cantSplit w:val="true"/>
        </w:trPr>
        <w:tc>
          <w:tcPr>
            <w:tcW w:type="dxa" w:w="181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ROI / scheduler</w:t>
            </w:r>
          </w:p>
        </w:tc>
        <w:tc>
          <w:tcPr>
            <w:tcW w:type="dxa" w:w="436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vehicle_roi_area_ratio, mz_runs/skipped, vehicle_runs/skipped, plate_roi/full-frame runs, fallbacki</w:t>
            </w:r>
          </w:p>
        </w:tc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Podstawa eksperymentów R0–R4.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Scena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scene_change_score/fraction/brightness_delta, scene_reset, camera_transform_in_progress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Już zbierane w trace; obecny CSV nie pokazuje wszystkiego.</w:t>
            </w:r>
          </w:p>
        </w:tc>
      </w:tr>
      <w:tr>
        <w:trPr>
          <w:cantSplit w:val="true"/>
        </w:trPr>
        <w:tc>
          <w:tcPr>
            <w:tcW w:type="dxa" w:w="181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Autozoom / lock</w:t>
            </w:r>
          </w:p>
        </w:tc>
        <w:tc>
          <w:tcPr>
            <w:tcW w:type="dxa" w:w="436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target ROI, lock candidates/misses/score/second score/confidence; zoom ratio i capture_source dla cropa</w:t>
            </w:r>
          </w:p>
        </w:tc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Dane istnieją, ale brakuje spójnego event streamu.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Pamięć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PSS i native heap co 30. trace + ram_peak_mb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Nie zwiększać częstotliwości bez benchmarku narzutu.</w:t>
            </w:r>
          </w:p>
        </w:tc>
      </w:tr>
      <w:tr>
        <w:trPr>
          <w:cantSplit w:val="true"/>
        </w:trPr>
        <w:tc>
          <w:tcPr>
            <w:tcW w:type="dxa" w:w="181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GT / jakość końcowa</w:t>
            </w:r>
          </w:p>
        </w:tc>
        <w:tc>
          <w:tcPr>
            <w:tcW w:type="dxa" w:w="436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accepted/corrected, exact match, CER, edit distance per unique session+track</w:t>
            </w:r>
          </w:p>
        </w:tc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Confidence nie może zastępować GT.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Termika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ThermalMonitor: temperatura baterii, thermalStatus, thermalHeadroom; DeviceProfile: pojedynczy snapshot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Brakuje szeregu czasowego powiązanego z eksperymentem.</w:t>
            </w:r>
          </w:p>
        </w:tc>
      </w:tr>
    </w:tbl>
    <w:p>
      <w:pPr>
        <w:spacing w:after="0"/>
      </w:pPr>
    </w:p>
    <w:p>
      <w:pPr>
        <w:pStyle w:val="Heading1"/>
      </w:pPr>
      <w:r>
        <w:t>Wspólny kontrakt Android ↔ Desktop</w:t>
      </w:r>
    </w:p>
    <w:p>
      <w:r>
        <w:rPr>
          <w:rFonts w:ascii="Noto Sans" w:hAnsi="Noto Sans" w:eastAsia="Noto Sans"/>
          <w:b/>
          <w:color w:val="1F2937"/>
          <w:sz w:val="19"/>
        </w:rPr>
        <w:t xml:space="preserve">Cel kontraktu. </w:t>
      </w:r>
      <w:r>
        <w:rPr>
          <w:rFonts w:ascii="Noto Sans" w:hAnsi="Noto Sans" w:eastAsia="Noto Sans"/>
          <w:color w:val="1F2937"/>
          <w:sz w:val="19"/>
        </w:rPr>
        <w:t>Zapewnić powtarzalny łańcuch: konfiguracja eksperymentu → pomiar na telefonie → eksport surowych danych → import bez utraty semantyki → analiza porównawcza → wykresy/tabele do pracy inżynierskiej.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38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Zasada</w:t>
            </w:r>
          </w:p>
        </w:tc>
        <w:tc>
          <w:tcPr>
            <w:tcW w:type="dxa" w:w="697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Wymaganie wspólne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Surowe dane są nadrzędne</w:t>
            </w:r>
          </w:p>
        </w:tc>
        <w:tc>
          <w:tcPr>
            <w:tcW w:type="dxa" w:w="697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Android może generować percentyle i summary, ale Desktop musi mieć możliwość ponownego obliczenia metryk z surowych rekordów.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Brak ≠ zero</w:t>
            </w:r>
          </w:p>
        </w:tc>
        <w:tc>
          <w:tcPr>
            <w:tcW w:type="dxa" w:w="697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Etap niewykonany ma być null/pusty/brak klucza; 0 oznacza rzeczywiście zmierzony zerowy licznik/czas. Importer nie może wypełniać braków zerami.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Jednostki w nazwach</w:t>
            </w:r>
          </w:p>
        </w:tc>
        <w:tc>
          <w:tcPr>
            <w:tcW w:type="dxa" w:w="697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Stosować jawne sufiksy: _ms, _ns, _px, _ratio, _c, _bytes, _kb. Nie używać wartości procentowych bez określenia, czy 0–1 czy 0–100.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Czas monotoniczny</w:t>
            </w:r>
          </w:p>
        </w:tc>
        <w:tc>
          <w:tcPr>
            <w:tcW w:type="dxa" w:w="697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Do synchronizacji serii stosować elapsed_ms / elapsed_ns. Czas UTC służy do identyfikacji i prezentacji, nie do mierzenia latency.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Identyfikacja</w:t>
            </w:r>
          </w:p>
        </w:tc>
        <w:tc>
          <w:tcPr>
            <w:tcW w:type="dxa" w:w="697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Każdy przebieg musi mieć stabilne report_id, experiment.session.id, series_id, scenario_id, variant i replicate_index.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Wersjonowanie</w:t>
            </w:r>
          </w:p>
        </w:tc>
        <w:tc>
          <w:tcPr>
            <w:tcW w:type="dxa" w:w="697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Raport musi identyfikować aplikację, modele i runtime. Porównania nie mogą mieszać niejawnie różnych buildów/modeli.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Kompatybilność</w:t>
            </w:r>
          </w:p>
        </w:tc>
        <w:tc>
          <w:tcPr>
            <w:tcW w:type="dxa" w:w="697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Rozszerzać alpr.mobile_benchmark_report.v1 addytywnie. Stare pola i stare archiwa pozostają czytelne; nowe pola są opcjonalne dla starych raportów.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Ground truth</w:t>
            </w:r>
          </w:p>
        </w:tc>
        <w:tc>
          <w:tcPr>
            <w:tcW w:type="dxa" w:w="697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Exact match i CER liczyć wyłącznie tam, gdzie istnieje jawny ground truth. Confidence nie jest metryką poprawności.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confirmed</w:t>
            </w:r>
          </w:p>
        </w:tc>
        <w:tc>
          <w:tcPr>
            <w:tcW w:type="dxa" w:w="697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Nie traktować pola confirmed jako ground truth. Docelowo rozdzielić stabilność tracku, świeży sukces MZ, wsparcie cropa dla konsensusu i ocenę ręczną.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Nie modyfikować źródeł</w:t>
            </w:r>
          </w:p>
        </w:tc>
        <w:tc>
          <w:tcPr>
            <w:tcW w:type="dxa" w:w="697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Desktop przechowuje raporty źródłowe jako immutable; wszystkie metryki pochodne, adnotacje analityczne i wykresy mają osobny cache/manifest analizy.</w:t>
            </w:r>
          </w:p>
        </w:tc>
      </w:tr>
    </w:tbl>
    <w:p>
      <w:pPr>
        <w:spacing w:after="0"/>
      </w:pPr>
    </w:p>
    <w:p>
      <w:pPr>
        <w:pStyle w:val="Heading2"/>
      </w:pPr>
      <w:r>
        <w:t>Wspólny model logiczny danych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7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Warstwa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Klucz / ziarnistość</w:t>
            </w:r>
          </w:p>
        </w:tc>
        <w:tc>
          <w:tcPr>
            <w:tcW w:type="dxa" w:w="481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Przeznaczenie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SESSION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rekord na raport / przebieg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Konfiguracja, wersje, urządzenie, model/runtime, eksperyment, wyniki zbiorcze.</w:t>
            </w:r>
          </w:p>
        </w:tc>
      </w:tr>
      <w:tr>
        <w:trPr>
          <w:cantSplit w:val="true"/>
        </w:trPr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rekord na przetworzoną klatkę</w:t>
            </w:r>
          </w:p>
        </w:tc>
        <w:tc>
          <w:tcPr>
            <w:tcW w:type="dxa" w:w="481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Czasy etapów, confidence, ROI, geometria, ruch, status, pamięć.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FRAME_FLOW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rekord / sekunda lub lekki rekord wejściowej klatki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Received/processed/skipped, przepustowość, estymacja upstream gaps i frame age.</w:t>
            </w:r>
          </w:p>
        </w:tc>
      </w:tr>
      <w:tr>
        <w:trPr>
          <w:cantSplit w:val="true"/>
        </w:trPr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TRACK / CROP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rekord na zapisany crop / jednostkę jakościową</w:t>
            </w:r>
          </w:p>
        </w:tc>
        <w:tc>
          <w:tcPr>
            <w:tcW w:type="dxa" w:w="481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GT, exact/CER, rozmiar/geometria tablicy, jakość obrazu, zoom, wynik.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rekord ~1 Hz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Temperatura, thermal status/headroom, bateria; korelacja z wydajnością.</w:t>
            </w:r>
          </w:p>
        </w:tc>
      </w:tr>
      <w:tr>
        <w:trPr>
          <w:cantSplit w:val="true"/>
        </w:trPr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EVENT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rekord tylko przy zdarzeniu</w:t>
            </w:r>
          </w:p>
        </w:tc>
        <w:tc>
          <w:tcPr>
            <w:tcW w:type="dxa" w:w="481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MZ/consensus, autozoom, lock, scene reset, track lifecycle; rekonstrukcja przebiegu systemu.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1F2937"/>
                <w:sz w:val="15"/>
              </w:rPr>
              <w:t>Klucze łączenia:</w:t>
              <w:br/>
              <w:t>SESSION.report_id / experiment.session.id</w:t>
              <w:br/>
              <w:t>FRAME.frame_id</w:t>
              <w:br/>
              <w:t>TRACK/CROP: session_id + track_id (+ capture_id)</w:t>
              <w:br/>
              <w:t>EVENT: experiment_session_id + elapsed_ms + event_seq; opcjonalnie frame_id/track_id</w:t>
              <w:br/>
              <w:t>THERMAL / FRAME_FLOW: experiment_session_id + elapsed_ms</w:t>
              <w:br/>
              <w:t>Łączenie time-series: po elapsed_ms (nearest/backward z jawnie określoną tolerancją).</w:t>
            </w:r>
          </w:p>
        </w:tc>
      </w:tr>
    </w:tbl>
    <w:p>
      <w:pPr>
        <w:spacing w:after="0"/>
      </w:pPr>
    </w:p>
    <w:p>
      <w:pPr>
        <w:pStyle w:val="Heading1"/>
      </w:pPr>
      <w:r>
        <w:t>3. P0 – identyfikacja eksperymentu i odtwarzalność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color w:val="1F4E78"/>
                <w:sz w:val="18"/>
              </w:rPr>
              <w:t xml:space="preserve">Priorytet P0: </w:t>
            </w:r>
            <w:r>
              <w:rPr>
                <w:rFonts w:ascii="Noto Sans" w:hAnsi="Noto Sans" w:eastAsia="Noto Sans"/>
                <w:color w:val="1F2937"/>
                <w:sz w:val="18"/>
              </w:rPr>
              <w:t>Bez stabilnej identyfikacji serii nie wolno rozpoczynać kampanii pomiarowej. Późniejsze ręczne sortowanie plików jest niedopuszczalne.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94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Pole</w:t>
            </w:r>
          </w:p>
        </w:tc>
        <w:tc>
          <w:tcPr>
            <w:tcW w:type="dxa" w:w="249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Typ / przykład</w:t>
            </w:r>
          </w:p>
        </w:tc>
        <w:tc>
          <w:tcPr>
            <w:tcW w:type="dxa" w:w="396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Wymaganie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experiment.series_id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string, np. ROI-2026-08-A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Wspólny identyfikator całej serii porównawczej.</w:t>
            </w:r>
          </w:p>
        </w:tc>
      </w:tr>
      <w:tr>
        <w:trPr>
          <w:cantSplit w:val="true"/>
        </w:trP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experiment.scenario_id</w:t>
            </w:r>
          </w:p>
        </w:tc>
        <w:tc>
          <w:tcPr>
            <w:tcW w:type="dxa" w:w="249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string, np. single_static / distant_plate / multi_static</w:t>
            </w:r>
          </w:p>
        </w:tc>
        <w:tc>
          <w:tcPr>
            <w:tcW w:type="dxa" w:w="396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Kontrolowana etykieta materiału/warunków.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experiment.variant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R0, R1, R2… / autozoom_on / tflite_fp32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Jedyna główna zmienna niezależna w danym porównaniu.</w:t>
            </w:r>
          </w:p>
        </w:tc>
      </w:tr>
      <w:tr>
        <w:trPr>
          <w:cantSplit w:val="true"/>
        </w:trP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experiment.replicate_index</w:t>
            </w:r>
          </w:p>
        </w:tc>
        <w:tc>
          <w:tcPr>
            <w:tcW w:type="dxa" w:w="249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int &gt;=1</w:t>
            </w:r>
          </w:p>
        </w:tc>
        <w:tc>
          <w:tcPr>
            <w:tcW w:type="dxa" w:w="396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Numer powtórzenia tego samego wariantu/scenariusza.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experiment.session.id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istniejący exp-…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Nie zmieniać po zakończeniu przebiegu.</w:t>
            </w:r>
          </w:p>
        </w:tc>
      </w:tr>
      <w:tr>
        <w:trPr>
          <w:cantSplit w:val="true"/>
        </w:trP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app_build.git_commit</w:t>
            </w:r>
          </w:p>
        </w:tc>
        <w:tc>
          <w:tcPr>
            <w:tcW w:type="dxa" w:w="249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40-znakowy SHA</w:t>
            </w:r>
          </w:p>
        </w:tc>
        <w:tc>
          <w:tcPr>
            <w:tcW w:type="dxa" w:w="396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Wymagane do porównywalności buildów. app_version=1.0 jest niewystarczające.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app_build.build_type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debug/release/research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Wymagane, bo profil kompilacji może zmieniać czasy.</w:t>
            </w:r>
          </w:p>
        </w:tc>
      </w:tr>
      <w:tr>
        <w:trPr>
          <w:cantSplit w:val="true"/>
        </w:trP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app_build.built_at_utc</w:t>
            </w:r>
          </w:p>
        </w:tc>
        <w:tc>
          <w:tcPr>
            <w:tcW w:type="dxa" w:w="249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ISO-8601</w:t>
            </w:r>
          </w:p>
        </w:tc>
        <w:tc>
          <w:tcPr>
            <w:tcW w:type="dxa" w:w="396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Pomocniczo; SHA jest kluczem nadrzędnym.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experiment.notes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opcjonalny string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Notatka operatora, nie może być używana jako jedyny nośnik krytycznych parametrów.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Wartości serii/scenariusza/wariantu/replikacji muszą zostać zamrożone w ExperimentSession w chwili startu, tak jak obecnie wariant ROI jest chroniony przed zmianą UI po zakończeniu pomiaru.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Jeżeli użytkownik zmieni ustawienia po zakończeniu eksperymentu, raport ma nadal opisywać konfigurację z momentu startu.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Do porównania muszą trafić fingerprinty MP/MT/MZ, runtime, precyzja, liczba wątków, delegate, rozdzielczość oraz recognition profile – większość już istnieje.</w:t>
      </w:r>
    </w:p>
    <w:p>
      <w:pPr>
        <w:pStyle w:val="Heading1"/>
      </w:pPr>
      <w:r>
        <w:t>4. P0 – termika jako szereg czasowy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72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Pole próbki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Źródło</w:t>
            </w:r>
          </w:p>
        </w:tc>
        <w:tc>
          <w:tcPr>
            <w:tcW w:type="dxa" w:w="385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Częstotliwość / semantyka</w:t>
            </w:r>
          </w:p>
        </w:tc>
      </w:tr>
      <w:tr>
        <w:trPr>
          <w:cantSplit w:val="true"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elapsed_ms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SystemClock.elapsedRealtime()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Od startu sesji; główna oś czasu.</w:t>
            </w:r>
          </w:p>
        </w:tc>
      </w:tr>
      <w:tr>
        <w:trPr>
          <w:cantSplit w:val="true"/>
        </w:trPr>
        <w:tc>
          <w:tcPr>
            <w:tcW w:type="dxa" w:w="272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battery_temperature_c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ThermalMonitor</w:t>
            </w:r>
          </w:p>
        </w:tc>
        <w:tc>
          <w:tcPr>
            <w:tcW w:type="dxa" w:w="385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Hz; NaN/brak jeśli niedostępne.</w:t>
            </w:r>
          </w:p>
        </w:tc>
      </w:tr>
      <w:tr>
        <w:trPr>
          <w:cantSplit w:val="true"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thermal_status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PowerManager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Hz; wartość liczbowa + opcjonalna etykieta.</w:t>
            </w:r>
          </w:p>
        </w:tc>
      </w:tr>
      <w:tr>
        <w:trPr>
          <w:cantSplit w:val="true"/>
        </w:trPr>
        <w:tc>
          <w:tcPr>
            <w:tcW w:type="dxa" w:w="272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thermal_headroom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ThermalMonitor cache</w:t>
            </w:r>
          </w:p>
        </w:tc>
        <w:tc>
          <w:tcPr>
            <w:tcW w:type="dxa" w:w="385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Zapisywać każdą próbkę wraz z flagą available; realny odczyt może być rzadszy (obecnie ~10 s).</w:t>
            </w:r>
          </w:p>
        </w:tc>
      </w:tr>
      <w:tr>
        <w:trPr>
          <w:cantSplit w:val="true"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battery_percent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BatteryManager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Hz lub 5 s; potrzebne przy długich seriach.</w:t>
            </w:r>
          </w:p>
        </w:tc>
      </w:tr>
      <w:tr>
        <w:trPr>
          <w:cantSplit w:val="true"/>
        </w:trPr>
        <w:tc>
          <w:tcPr>
            <w:tcW w:type="dxa" w:w="272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charging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BatteryManager</w:t>
            </w:r>
          </w:p>
        </w:tc>
        <w:tc>
          <w:tcPr>
            <w:tcW w:type="dxa" w:w="385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bool; warunki porównania muszą być jawne.</w:t>
            </w:r>
          </w:p>
        </w:tc>
      </w:tr>
      <w:tr>
        <w:trPr>
          <w:cantSplit w:val="true"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available_memory_bytes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ActivityManager.MemoryInfo – opcjonalnie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1–5 s; nie dublować kosztownego PSS per frame.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1F2937"/>
                <w:sz w:val="15"/>
              </w:rPr>
              <w:t>Rekomendowany artefakt: thermal.csv</w:t>
              <w:br/>
              <w:t>experiment_session_id,elapsed_ms,battery_temperature_c,thermal_status,thermal_headroom,headroom_available,battery_percent,charging,available_memory_bytes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Pojedynczy snapshot DeviceProfile zostaje – jest metadanym startu/eksportu, ale nie zastępuje thermal.csv.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Próbkowanie termiki ma działać niezależnie od tego, czy dana klatka została przetworzona; inaczej throttling i dropy zniekształcą serię.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Warunek termiczny startu (np. &lt;= 32°C) nadal może istnieć, ale raport musi zachować jego konfigurację i faktyczny stan przy starcie.</w:t>
      </w:r>
    </w:p>
    <w:p>
      <w:pPr>
        <w:pStyle w:val="Heading1"/>
      </w:pPr>
      <w:r>
        <w:t>5. P0 – przepływ klatek i poprawna semantyka „drop”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8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color w:val="1F4E78"/>
                <w:sz w:val="18"/>
              </w:rPr>
              <w:t xml:space="preserve">Istotne: </w:t>
            </w:r>
            <w:r>
              <w:rPr>
                <w:rFonts w:ascii="Noto Sans" w:hAnsi="Noto Sans" w:eastAsia="Noto Sans"/>
                <w:color w:val="1F2937"/>
                <w:sz w:val="18"/>
              </w:rPr>
              <w:t>Obecne dropped_frames rośnie przy odrzuceniu przez AdaptiveFrameGate albo podczas transformacji kamery. Nie jest to liczba wszystkich klatek utraconych przez CameraX STRATEGY_KEEP_ONLY_LATEST.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Metryka</w:t>
            </w:r>
          </w:p>
        </w:tc>
        <w:tc>
          <w:tcPr>
            <w:tcW w:type="dxa" w:w="340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Znaczenie</w:t>
            </w:r>
          </w:p>
        </w:tc>
        <w:tc>
          <w:tcPr>
            <w:tcW w:type="dxa" w:w="31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Jak zbierać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frames_received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Liczba wejść do analizatora / otrzymanych ImageProxy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Inkrement przed gate i przed camera-transform skip.</w:t>
            </w:r>
          </w:p>
        </w:tc>
      </w:tr>
      <w:tr>
        <w:trPr>
          <w:cantSplit w:val="true"/>
        </w:trPr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frames_processed</w:t>
            </w:r>
          </w:p>
        </w:tc>
        <w:tc>
          <w:tcPr>
            <w:tcW w:type="dxa" w:w="340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Liczba klatek z pełnym InferenceTrace</w:t>
            </w:r>
          </w:p>
        </w:tc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Powinna odpowiadać measured_runs/processed_frames.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frames_skipped_gate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Świadome pominięcia AdaptiveFrameGate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Osobny licznik.</w:t>
            </w:r>
          </w:p>
        </w:tc>
      </w:tr>
      <w:tr>
        <w:trPr>
          <w:cantSplit w:val="true"/>
        </w:trPr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frames_skipped_camera_transform</w:t>
            </w:r>
          </w:p>
        </w:tc>
        <w:tc>
          <w:tcPr>
            <w:tcW w:type="dxa" w:w="340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Pominięcia podczas kontrolowanej transformacji/zoomu</w:t>
            </w:r>
          </w:p>
        </w:tc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Osobny licznik.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estimated_upstream_gaps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Szacowane braki przed analyzerem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Wyłącznie jako ESTYMACJA z ImageInfo.timestamp i oczekiwanej kadencji; nigdy nie nazywać CameraX dropped_frames bez bezpośredniego pomiaru.</w:t>
            </w:r>
          </w:p>
        </w:tc>
      </w:tr>
      <w:tr>
        <w:trPr>
          <w:cantSplit w:val="true"/>
        </w:trPr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received_fps / processed_fps</w:t>
            </w:r>
          </w:p>
        </w:tc>
        <w:tc>
          <w:tcPr>
            <w:tcW w:type="dxa" w:w="340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Przepustowość</w:t>
            </w:r>
          </w:p>
        </w:tc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Liczyć w Desktopie z szeregu/bucketów; Android może podać summary.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frame_age_ms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Świeżość wyniku względem znacznika akwizycji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Jeżeli timestamp kamery da się spójnie odnieść do monotonicznego zegara; jeśli nie – raportować „unavailable”, nie zgadywać.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1F2937"/>
                <w:sz w:val="15"/>
              </w:rPr>
              <w:t>Preferowany lekki artefakt: frame_flow.csv (bucket 1 s)</w:t>
              <w:br/>
              <w:t>experiment_session_id,elapsed_ms,frames_received,frames_processed,frames_skipped_gate,frames_skipped_camera_transform,estimated_upstream_gaps</w:t>
              <w:br/>
              <w:br/>
              <w:t>Alternatywa: event dla każdej wejściowej klatki tylko w trybie badawczym, jeśli narzut i rozmiar pozostają akceptowalne.</w:t>
            </w:r>
          </w:p>
        </w:tc>
      </w:tr>
    </w:tbl>
    <w:p>
      <w:pPr>
        <w:spacing w:after="0"/>
      </w:pPr>
    </w:p>
    <w:p>
      <w:pPr>
        <w:pStyle w:val="Heading1"/>
      </w:pPr>
      <w:r>
        <w:t>6. P0 – rozmiar i geometria tablicy</w:t>
      </w:r>
    </w:p>
    <w:p>
      <w:r>
        <w:rPr>
          <w:rFonts w:ascii="Noto Sans" w:hAnsi="Noto Sans" w:eastAsia="Noto Sans"/>
          <w:color w:val="1F2937"/>
          <w:sz w:val="18"/>
        </w:rPr>
        <w:t>Celem jest możliwość odpowiedzi: „przy jakim względnym/pikselowym rozmiarze i jakiej perspektywie system zaczyna tracić exact match?”.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06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Pole</w:t>
            </w:r>
          </w:p>
        </w:tc>
        <w:tc>
          <w:tcPr>
            <w:tcW w:type="dxa" w:w="226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Ziarnistość</w:t>
            </w:r>
          </w:p>
        </w:tc>
        <w:tc>
          <w:tcPr>
            <w:tcW w:type="dxa" w:w="408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Uwagi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plate_bbox_width_px / height_px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każda wybrana detekcja MT / crop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Wymagane; rozmiar obiektu w źródle.</w:t>
            </w:r>
          </w:p>
        </w:tc>
      </w:tr>
      <w:tr>
        <w:trPr>
          <w:cantSplit w:val="true"/>
        </w:trPr>
        <w:tc>
          <w:tcPr>
            <w:tcW w:type="dxa" w:w="306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plate_bbox_area_ratio</w:t>
            </w:r>
          </w:p>
        </w:tc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detekcja/crop</w:t>
            </w:r>
          </w:p>
        </w:tc>
        <w:tc>
          <w:tcPr>
            <w:tcW w:type="dxa" w:w="408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bbox_area / frame_area.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plate_quad_area_ratio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detekcja/crop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Pole czworokąta / frame_area; lepsze dla perspektywy.</w:t>
            </w:r>
          </w:p>
        </w:tc>
      </w:tr>
      <w:tr>
        <w:trPr>
          <w:cantSplit w:val="true"/>
        </w:trPr>
        <w:tc>
          <w:tcPr>
            <w:tcW w:type="dxa" w:w="306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plate_corners_norm</w:t>
            </w:r>
          </w:p>
        </w:tc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4 × (x,y) w 0–1</w:t>
            </w:r>
          </w:p>
        </w:tc>
        <w:tc>
          <w:tcPr>
            <w:tcW w:type="dxa" w:w="408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Preferowane surowe dane. Desktop może wyliczać nachylenie/perspective metrics.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plate_fit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już istnieje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Zachować jako wynik algorytmu Androida, ale nie zastępować nim surowej geometrii.</w:t>
            </w:r>
          </w:p>
        </w:tc>
      </w:tr>
      <w:tr>
        <w:trPr>
          <w:cantSplit w:val="true"/>
        </w:trPr>
        <w:tc>
          <w:tcPr>
            <w:tcW w:type="dxa" w:w="306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plate_sharpness</w:t>
            </w:r>
          </w:p>
        </w:tc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już istnieje</w:t>
            </w:r>
          </w:p>
        </w:tc>
        <w:tc>
          <w:tcPr>
            <w:tcW w:type="dxa" w:w="408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Zachować.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mean_luminance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rektyfikowany crop lub plate ROI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P1; tani wskaźnik jasności.</w:t>
            </w:r>
          </w:p>
        </w:tc>
      </w:tr>
      <w:tr>
        <w:trPr>
          <w:cantSplit w:val="true"/>
        </w:trPr>
        <w:tc>
          <w:tcPr>
            <w:tcW w:type="dxa" w:w="306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luminance_stddev</w:t>
            </w:r>
          </w:p>
        </w:tc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rektyfikowany crop</w:t>
            </w:r>
          </w:p>
        </w:tc>
        <w:tc>
          <w:tcPr>
            <w:tcW w:type="dxa" w:w="408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P1; prosty kontrast.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underexposed_ratio / overexposed_ratio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rektyfikowany crop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P1; udział pikseli poniżej/powyżej jawnych progów.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Nie tworzyć ręcznej kategorii „blisko/średnio/daleko” jako jedynego parametru. Zachować wartości ciągłe; Desktop utworzy biny do wykresów.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Jeżeli dodatkowe wskaźniki obrazu zwiększają czas pipeline’u, liczyć je tylko przy cropie/MZ albo w trybie eksperymentalnym i zmierzyć ich narzut.</w:t>
      </w:r>
    </w:p>
    <w:p>
      <w:pPr>
        <w:pStyle w:val="Heading1"/>
      </w:pPr>
      <w:r>
        <w:t>7. P0 – konsensus czasowy i historia MZ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color w:val="1F4E78"/>
                <w:sz w:val="18"/>
              </w:rPr>
              <w:t xml:space="preserve">Luka w aktualnym modelu: </w:t>
            </w:r>
            <w:r>
              <w:rPr>
                <w:rFonts w:ascii="Noto Sans" w:hAnsi="Noto Sans" w:eastAsia="Noto Sans"/>
                <w:color w:val="1F2937"/>
                <w:sz w:val="18"/>
              </w:rPr>
              <w:t>TemporalCharacterAggregator i PlateTrackCoordinator znają observations, attempts, layout i rowCounts, lecz CapturedPlateItem nie zachowuje pełnej historii. Z samych wybranych cropów nie da się wiarygodnie odtworzyć correction rate ani false confirmation rate.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345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Pole / zdarzenie</w:t>
            </w:r>
          </w:p>
        </w:tc>
        <w:tc>
          <w:tcPr>
            <w:tcW w:type="dxa" w:w="595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Wymaganie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track_confirmed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Stan stabilności konsensusu tracku; następca obecnego confirmed.</w:t>
            </w:r>
          </w:p>
        </w:tc>
      </w:tr>
      <w:tr>
        <w:trPr>
          <w:cantSplit w:val="true"/>
        </w:trPr>
        <w:tc>
          <w:tcPr>
            <w:tcW w:type="dxa" w:w="345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fresh_mz_successful</w:t>
            </w:r>
          </w:p>
        </w:tc>
        <w:tc>
          <w:tcPr>
            <w:tcW w:type="dxa" w:w="595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Czy bieżąca próba MZ wykryła i zwróciła użyteczne znaki.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crop_supports_consensus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Czy bieżący wynik wspiera tekst wybrany przez konsensus.</w:t>
            </w:r>
          </w:p>
        </w:tc>
      </w:tr>
      <w:tr>
        <w:trPr>
          <w:cantSplit w:val="true"/>
        </w:trPr>
        <w:tc>
          <w:tcPr>
            <w:tcW w:type="dxa" w:w="345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consensus_observations</w:t>
            </w:r>
          </w:p>
        </w:tc>
        <w:tc>
          <w:tcPr>
            <w:tcW w:type="dxa" w:w="595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Liczba obserwacji dominującej struktury przy danym zdarzeniu/cropie.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mz_attempt_index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Kolejny numer próby MZ dla tracku.</w:t>
            </w:r>
          </w:p>
        </w:tc>
      </w:tr>
      <w:tr>
        <w:trPr>
          <w:cantSplit w:val="true"/>
        </w:trPr>
        <w:tc>
          <w:tcPr>
            <w:tcW w:type="dxa" w:w="345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layout / row_counts</w:t>
            </w:r>
          </w:p>
        </w:tc>
        <w:tc>
          <w:tcPr>
            <w:tcW w:type="dxa" w:w="595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single_row/two_row/multi_row + np. [3,5].</w:t>
            </w:r>
          </w:p>
        </w:tc>
      </w:tr>
      <w:tr>
        <w:trPr>
          <w:cantSplit w:val="true"/>
        </w:trPr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prediction_before / prediction_after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P1; ułatwia audyt zmian konsensusu.</w:t>
            </w:r>
          </w:p>
        </w:tc>
      </w:tr>
      <w:tr>
        <w:trPr>
          <w:cantSplit w:val="true"/>
        </w:trPr>
        <w:tc>
          <w:tcPr>
            <w:tcW w:type="dxa" w:w="345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manual_verification_status</w:t>
            </w:r>
          </w:p>
        </w:tc>
        <w:tc>
          <w:tcPr>
            <w:tcW w:type="dxa" w:w="595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Niezależne accepted/rejected/corrected; nigdy nie mieszać z track_confirmed.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1F2937"/>
                <w:sz w:val="15"/>
              </w:rPr>
              <w:t>Rekomendowany events.jsonl (lub events.csv):</w:t>
              <w:br/>
              <w:t>experiment_session_id,event_seq,elapsed_ms,frame_id,track_id,event_type,prediction,confidence,consensus_observations,mz_attempt_index,track_confirmed,fresh_mz_successful,crop_supports_consensus,layout,row_counts,zoom_ratio</w:t>
              <w:br/>
              <w:br/>
              <w:t>Minimalne event_type:</w:t>
              <w:br/>
              <w:t>track_created, track_lost, mz_attempt, mz_result, consensus_updated, consensus_confirmed</w:t>
            </w:r>
          </w:p>
        </w:tc>
      </w:tr>
    </w:tbl>
    <w:p>
      <w:pPr>
        <w:spacing w:after="0"/>
      </w:pPr>
    </w:p>
    <w:p>
      <w:pPr>
        <w:pStyle w:val="Heading1"/>
      </w:pPr>
      <w:r>
        <w:t>8. P1 – autozoom i lock jako eksperyment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60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680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Wymagane dane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Konfiguracja sesji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auto_zoom_enabled, profil/progi, max zoom; stan zamrożony przy starcie.</w:t>
            </w:r>
          </w:p>
        </w:tc>
      </w:tr>
      <w:tr>
        <w:trPr>
          <w:cantSplit w:val="true"/>
        </w:trPr>
        <w:tc>
          <w:tcPr>
            <w:tcW w:type="dxa" w:w="260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Per frame / event</w:t>
            </w:r>
          </w:p>
        </w:tc>
        <w:tc>
          <w:tcPr>
            <w:tcW w:type="dxa" w:w="680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zoom_ratio, target_track_id, lock_state (acquiring/locked/uncertain/lost), lock_score, second_score, confidence, misses.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Zdarzenia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auto_zoom_started, lock_acquired, lock_uncertain, lock_lost, mz_retry_after_zoom, zoom_finished.</w:t>
            </w:r>
          </w:p>
        </w:tc>
      </w:tr>
      <w:tr>
        <w:trPr>
          <w:cantSplit w:val="true"/>
        </w:trPr>
        <w:tc>
          <w:tcPr>
            <w:tcW w:type="dxa" w:w="260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Wynik</w:t>
            </w:r>
          </w:p>
        </w:tc>
        <w:tc>
          <w:tcPr>
            <w:tcW w:type="dxa" w:w="680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czy odczyt przed zoomem istniał; czy po zoomie został poprawiony; czas cyklu; GT z tracku/cropa.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Istniejące pola lock/ROI w InferenceTrace mają pozostać; event stream ma jedynie uporządkować przejścia stanu.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Target lock success rate powinien być liczony w Desktopie, nie jako nieprzejrzysta liczba w Androidzie.</w:t>
      </w:r>
    </w:p>
    <w:p>
      <w:pPr>
        <w:pStyle w:val="Heading1"/>
      </w:pPr>
      <w:r>
        <w:t>9. Rozszerzenie artefaktu .alprsession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26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Plik</w:t>
            </w:r>
          </w:p>
        </w:tc>
        <w:tc>
          <w:tcPr>
            <w:tcW w:type="dxa" w:w="187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2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Rola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report.json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zachować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Summary, konfiguracja, execution/model fingerprints, jakość, liczniki.</w:t>
            </w:r>
          </w:p>
        </w:tc>
      </w:tr>
      <w:tr>
        <w:trPr>
          <w:cantSplit w:val="true"/>
        </w:trPr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traces.csv</w:t>
            </w:r>
          </w:p>
        </w:tc>
        <w:tc>
          <w:tcPr>
            <w:tcW w:type="dxa" w:w="187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zachować i rozszerzyć</w:t>
            </w:r>
          </w:p>
        </w:tc>
        <w:tc>
          <w:tcPr>
            <w:tcW w:type="dxa" w:w="52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Przenośna tabela per processed frame; dodać obecnie istniejące timing-audit/scene/autozoom fields lub zapewnić równoważne źródło.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thermal.csv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NOWY P0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Szereg termiczny niezależny od FPS.</w:t>
            </w:r>
          </w:p>
        </w:tc>
      </w:tr>
      <w:tr>
        <w:trPr>
          <w:cantSplit w:val="true"/>
        </w:trPr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frame_flow.csv</w:t>
            </w:r>
          </w:p>
        </w:tc>
        <w:tc>
          <w:tcPr>
            <w:tcW w:type="dxa" w:w="187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NOWY P0</w:t>
            </w:r>
          </w:p>
        </w:tc>
        <w:tc>
          <w:tcPr>
            <w:tcW w:type="dxa" w:w="52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Received/processed/skipped w bucketach czasu.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events.jsonl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NOWY P0/P1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Track/MZ/consensus/autozoom/scene events.</w:t>
            </w:r>
          </w:p>
        </w:tc>
      </w:tr>
      <w:tr>
        <w:trPr>
          <w:cantSplit w:val="true"/>
        </w:trPr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samples/index.csv</w:t>
            </w:r>
          </w:p>
        </w:tc>
        <w:tc>
          <w:tcPr>
            <w:tcW w:type="dxa" w:w="187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rozszerzyć</w:t>
            </w:r>
          </w:p>
        </w:tc>
        <w:tc>
          <w:tcPr>
            <w:tcW w:type="dxa" w:w="52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Plate size/geometry, consensus fields, zoom/source, timing, GT.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samples/annotations.jsonl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rozszerzyć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Pełniejsze dane strukturalne znaków/geometrii bez ograniczeń CSV.</w:t>
            </w:r>
          </w:p>
        </w:tc>
      </w:tr>
      <w:tr>
        <w:trPr>
          <w:cantSplit w:val="true"/>
        </w:trPr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manifest.json</w:t>
            </w:r>
          </w:p>
        </w:tc>
        <w:tc>
          <w:tcPr>
            <w:tcW w:type="dxa" w:w="187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zachować</w:t>
            </w:r>
          </w:p>
        </w:tc>
        <w:tc>
          <w:tcPr>
            <w:tcW w:type="dxa" w:w="527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SHA-256 wszystkich nowych artefaktów; manifest ostatnim wpisem.</w:t>
            </w:r>
          </w:p>
        </w:tc>
      </w:tr>
    </w:tbl>
    <w:p>
      <w:pPr>
        <w:spacing w:after="0"/>
      </w:pPr>
    </w:p>
    <w:p>
      <w:pPr>
        <w:pStyle w:val="Heading1"/>
      </w:pPr>
      <w:r>
        <w:t>10. Limit danych i długie eksperymenty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8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color w:val="1F4E78"/>
                <w:sz w:val="18"/>
              </w:rPr>
              <w:t xml:space="preserve">Ryzyko P0: </w:t>
            </w:r>
            <w:r>
              <w:rPr>
                <w:rFonts w:ascii="Noto Sans" w:hAnsi="Noto Sans" w:eastAsia="Noto Sans"/>
                <w:color w:val="1F2937"/>
                <w:sz w:val="18"/>
              </w:rPr>
              <w:t>MetricsCollector ma obecnie MAX_TRACES = 5000 i usuwa najstarsze trace’y. Dla długiego eksperymentu termicznego może zniknąć początek serii, czyli dokładnie część potrzebna do analizy nagrzewania.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Nie zwiększać limitu w ciemno. </w:t>
      </w:r>
      <w:r>
        <w:rPr>
          <w:rFonts w:ascii="Noto Sans" w:hAnsi="Noto Sans" w:eastAsia="Noto Sans"/>
          <w:color w:val="1F2937"/>
          <w:sz w:val="18"/>
        </w:rPr>
        <w:t>Najpierw określić oczekiwane długości eksperymentów i zużycie pamięci.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Preferowane rozwiązanie. </w:t>
      </w:r>
      <w:r>
        <w:rPr>
          <w:rFonts w:ascii="Noto Sans" w:hAnsi="Noto Sans" w:eastAsia="Noto Sans"/>
          <w:color w:val="1F2937"/>
          <w:sz w:val="18"/>
        </w:rPr>
        <w:t>W trybie badawczym strumieniować trace’y/telemetrię do pliku tymczasowego lub eksportować lekkie bucketowane szeregi, zamiast trzymać wszystko w RAM.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Jeżeli zostaje ring buffer. </w:t>
      </w:r>
      <w:r>
        <w:rPr>
          <w:rFonts w:ascii="Noto Sans" w:hAnsi="Noto Sans" w:eastAsia="Noto Sans"/>
          <w:color w:val="1F2937"/>
          <w:sz w:val="18"/>
        </w:rPr>
        <w:t>Raport musi jawnie zawierać trace_total_seen, trace_records_retained, trace_records_evicted i zakres czasowy retained.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Zawsze chronić wynik. </w:t>
      </w:r>
      <w:r>
        <w:rPr>
          <w:rFonts w:ascii="Noto Sans" w:hAnsi="Noto Sans" w:eastAsia="Noto Sans"/>
          <w:color w:val="1F2937"/>
          <w:sz w:val="18"/>
        </w:rPr>
        <w:t>Eksport nie może blokować inferencji w trakcie właściwej części eksperymentu; snapshot/stop powinien być jednoznaczny.</w:t>
      </w:r>
    </w:p>
    <w:p>
      <w:pPr>
        <w:pStyle w:val="Heading1"/>
      </w:pPr>
      <w:r>
        <w:t>11. Reguły jakości danych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Wartości NaN/Infinity nie mogą być serializowane jako liczby JSON; użyć null/braku pola + *_available.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Nie sumować per-frame liczników, które są już kumulacyjne. Każdy licznik musi mieć dokumentację: delta_per_frame albo cumulative_session.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Czasy etapów nie mogą być sztucznie wpisywane jako 0, gdy etap się nie wykonał (obecna praktyka z brakiem etapu jest poprawna).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Wprowadzenie nowego pomiaru wymaga mikropomiaru jego narzutu – szczególnie luminancja/kontrast, geometria i zapis na dysk.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Każda sesja musi zawierać status kompletności: complete / stopped_manual / timer / error / thermal_abort oraz powód.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Nie zmieniać semantyki istniejących pól bez aliasu/migracji i aktualizacji dokumentacji kontraktu.</w:t>
      </w:r>
    </w:p>
    <w:p>
      <w:pPr>
        <w:pStyle w:val="Heading1"/>
      </w:pPr>
      <w:r>
        <w:t>12. Kolejność implementacji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Tożsamość eksperymentu i app_build SHA. </w:t>
      </w:r>
      <w:r>
        <w:rPr>
          <w:rFonts w:ascii="Noto Sans" w:hAnsi="Noto Sans" w:eastAsia="Noto Sans"/>
          <w:color w:val="1F2937"/>
          <w:sz w:val="18"/>
        </w:rPr>
        <w:t>series/scenario/replicate + zamrożenie konfiguracji w ExperimentSession.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Thermal time-series. </w:t>
      </w:r>
      <w:r>
        <w:rPr>
          <w:rFonts w:ascii="Noto Sans" w:hAnsi="Noto Sans" w:eastAsia="Noto Sans"/>
          <w:color w:val="1F2937"/>
          <w:sz w:val="18"/>
        </w:rPr>
        <w:t>thermal.csv + summary start/end/min/max/status transitions.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Frame flow. </w:t>
      </w:r>
      <w:r>
        <w:rPr>
          <w:rFonts w:ascii="Noto Sans" w:hAnsi="Noto Sans" w:eastAsia="Noto Sans"/>
          <w:color w:val="1F2937"/>
          <w:sz w:val="18"/>
        </w:rPr>
        <w:t>rozbić dropped_frames na jawne przyczyny i dodać frames_received/processed.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Plate geometry. </w:t>
      </w:r>
      <w:r>
        <w:rPr>
          <w:rFonts w:ascii="Noto Sans" w:hAnsi="Noto Sans" w:eastAsia="Noto Sans"/>
          <w:color w:val="1F2937"/>
          <w:sz w:val="18"/>
        </w:rPr>
        <w:t>wymiary/area ratio/corners w rekordzie cropa lub eventu.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Recognition events / consensus semantics. </w:t>
      </w:r>
      <w:r>
        <w:rPr>
          <w:rFonts w:ascii="Noto Sans" w:hAnsi="Noto Sans" w:eastAsia="Noto Sans"/>
          <w:color w:val="1F2937"/>
          <w:sz w:val="18"/>
        </w:rPr>
        <w:t>attempts/observations + split confirmed.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P1. Autozoom state/events. </w:t>
      </w:r>
      <w:r>
        <w:rPr>
          <w:rFonts w:ascii="Noto Sans" w:hAnsi="Noto Sans" w:eastAsia="Noto Sans"/>
          <w:color w:val="1F2937"/>
          <w:sz w:val="18"/>
        </w:rPr>
        <w:t>uporządkować istniejące lock metrics.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P1. Image difficulty metrics. </w:t>
      </w:r>
      <w:r>
        <w:rPr>
          <w:rFonts w:ascii="Noto Sans" w:hAnsi="Noto Sans" w:eastAsia="Noto Sans"/>
          <w:color w:val="1F2937"/>
          <w:sz w:val="18"/>
        </w:rPr>
        <w:t>luminancja/kontrast/ekspozycja po pomiarze narzutu.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Long-session storage. </w:t>
      </w:r>
      <w:r>
        <w:rPr>
          <w:rFonts w:ascii="Noto Sans" w:hAnsi="Noto Sans" w:eastAsia="Noto Sans"/>
          <w:color w:val="1F2937"/>
          <w:sz w:val="18"/>
        </w:rPr>
        <w:t>zapobiec niewidocznemu ucinaniu początku eksperymentu.</w:t>
      </w:r>
    </w:p>
    <w:p>
      <w:pPr>
        <w:pStyle w:val="Heading1"/>
      </w:pPr>
      <w:r>
        <w:t>13. Kryteria odbioru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26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714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Kryterium zaliczenia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Backward compatibility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Stary importer otwiera nowy raport na tyle, na ile pozwala mu dotychczasowy schemat; stare raporty nadal są czytelne przez nowy Desktop.</w:t>
            </w:r>
          </w:p>
        </w:tc>
      </w:tr>
      <w:tr>
        <w:trPr>
          <w:cantSplit w:val="true"/>
        </w:trPr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Identity</w:t>
            </w:r>
          </w:p>
        </w:tc>
        <w:tc>
          <w:tcPr>
            <w:tcW w:type="dxa" w:w="714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Dwa powtórzenia R1 mają ten sam series_id/scenario_id/variant i różne replicate_index/session.id; po zmianie UI po stop dane w raporcie się nie zmieniają.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10-min test daje ciąg próbek od początku do końca bez zależności od processed FPS.</w:t>
            </w:r>
          </w:p>
        </w:tc>
      </w:tr>
      <w:tr>
        <w:trPr>
          <w:cantSplit w:val="true"/>
        </w:trPr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 flow</w:t>
            </w:r>
          </w:p>
        </w:tc>
        <w:tc>
          <w:tcPr>
            <w:tcW w:type="dxa" w:w="714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frames_received = processed + app-skips (z uwzględnieniem jasno opisanej granicy pomiaru); upstream gap pozostaje estymacją.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Geometry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Dla każdego jakościowego cropa Desktop może odtworzyć plate height/area i 4 corners lub jasno wykryć brak.</w:t>
            </w:r>
          </w:p>
        </w:tc>
      </w:tr>
      <w:tr>
        <w:trPr>
          <w:cantSplit w:val="true"/>
        </w:trPr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Consensus</w:t>
            </w:r>
          </w:p>
        </w:tc>
        <w:tc>
          <w:tcPr>
            <w:tcW w:type="dxa" w:w="714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 eventów można odtworzyć kolejność MZ attempts, pierwszy tekst, zmiany tekstu i moment potwierdzenia.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Long run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Brak cichego utracenia początku serii; jeśli bufor uciął dane, raport jawnie to deklaruje i kampania zostaje oznaczona jako niepełna do analizy time-series.</w:t>
            </w:r>
          </w:p>
        </w:tc>
      </w:tr>
      <w:tr>
        <w:trPr>
          <w:cantSplit w:val="true"/>
        </w:trPr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Overhead</w:t>
            </w:r>
          </w:p>
        </w:tc>
        <w:tc>
          <w:tcPr>
            <w:tcW w:type="dxa" w:w="714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Narzut nowej telemetrii zmierzony i opisany; brak istotnego pogorszenia pipeline’u lub telemetria możliwa do wyłączenia poza trybem badawczym.</w:t>
            </w:r>
          </w:p>
        </w:tc>
      </w:tr>
    </w:tbl>
    <w:p>
      <w:pPr>
        <w:spacing w:after="0"/>
      </w:pPr>
    </w:p>
    <w:p>
      <w:pPr>
        <w:pStyle w:val="Heading1"/>
      </w:pPr>
      <w:r>
        <w:t>14. Handoff do agenta Desktop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Po zmianie kontraktu dostarczyć przykładowy .alprsession zawierający wszystkie nowe pliki i pola oraz osobny przykład z częścią pól niedostępnych.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Dostarczyć krótką tabelę: pole → typ → jednostka → nullable → źródło → częstotliwość → semantyka.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Nie wymagać od agenta Desktop znajomości kodu Androida do interpretacji pola.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Każda zmiana nazwy istniejącego pola musi mieć alias kompatybilności lub jawny numer wersji podschematu.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6B7280"/>
        <w:sz w:val="16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Noto Sans"/>
        <w:color w:val="6B7280"/>
        <w:sz w:val="16"/>
      </w:rPr>
      <w:t>Telemetria, kontrakt danych i eksport kampanii eksperymentalnej mobilnego ALPR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" w:hAnsi="Noto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Liberation Mono" w:hAnsi="Liberation Mono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