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" w:hAnsi="Noto Sans" w:eastAsia="Noto Sans"/>
          <w:b/>
          <w:color w:val="1F4E78"/>
          <w:sz w:val="46"/>
        </w:rPr>
        <w:t>Wytyczne dla agenta Desktop / Python</w:t>
      </w:r>
    </w:p>
    <w:p>
      <w:r>
        <w:rPr>
          <w:rFonts w:ascii="Noto Sans" w:hAnsi="Noto Sans" w:eastAsia="Noto Sans"/>
          <w:b/>
          <w:color w:val="1F2937"/>
          <w:sz w:val="22"/>
        </w:rPr>
        <w:t>Importer, model danych, analiza i wizualizacja kampanii eksperymentalnej mobilnego ALPR</w:t>
      </w:r>
    </w:p>
    <w:p>
      <w:r>
        <w:rPr>
          <w:rFonts w:ascii="Noto Sans" w:hAnsi="Noto Sans" w:eastAsia="Noto Sans"/>
          <w:color w:val="6B7280"/>
          <w:sz w:val="17"/>
        </w:rPr>
        <w:t>Stan źródeł: 26.08.2026  •  Dokument roboczy do przekazania agentowi implementacyjnemu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C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" w:hAnsi="Noto Sans" w:eastAsia="Noto Sans"/>
                <w:b/>
                <w:color w:val="1F4E78"/>
                <w:sz w:val="18"/>
              </w:rPr>
              <w:t xml:space="preserve">Stan repozytorium: </w:t>
            </w:r>
            <w:r>
              <w:rPr>
                <w:rFonts w:ascii="Noto Sans" w:hAnsi="Noto Sans" w:eastAsia="Noto Sans"/>
                <w:color w:val="1F2937"/>
                <w:sz w:val="18"/>
              </w:rPr>
              <w:t>W zdalnym rszuder/auto_annotation_tool importer/przeglądarka mobilna znajduje się na gałęzi checkpoint/stabilizacja-20260714, nie na obecnym main. Przed zmianami agent ma potwierdzić bazę pracy i świadomie przenieść/scalać tę implementację, zamiast rozwijać stary main.</w:t>
            </w:r>
          </w:p>
        </w:tc>
      </w:tr>
    </w:tbl>
    <w:p>
      <w:pPr>
        <w:spacing w:after="0"/>
      </w:pPr>
    </w:p>
    <w:p>
      <w:pPr>
        <w:pStyle w:val="Heading1"/>
      </w:pPr>
      <w:r>
        <w:t>1. Cel agenta</w:t>
      </w:r>
    </w:p>
    <w:p>
      <w:pPr>
        <w:pStyle w:val="ListBullet"/>
        <w:spacing w:after="30"/>
      </w:pPr>
      <w:r>
        <w:rPr>
          <w:rFonts w:ascii="Noto Sans" w:hAnsi="Noto Sans" w:eastAsia="Noto Sans"/>
          <w:b/>
          <w:color w:val="1F2937"/>
          <w:sz w:val="18"/>
        </w:rPr>
        <w:t xml:space="preserve">Zbudować warstwę analityczną, nie tylko większy podgląd JSON. </w:t>
      </w:r>
      <w:r>
        <w:rPr>
          <w:rFonts w:ascii="Noto Sans" w:hAnsi="Noto Sans" w:eastAsia="Noto Sans"/>
          <w:color w:val="1F2937"/>
          <w:sz w:val="18"/>
        </w:rPr>
        <w:t>System ma łączyć wiele raportów w serię eksperymentalną i tworzyć porównania nadające się do pracy inżynierskiej.</w:t>
      </w:r>
    </w:p>
    <w:p>
      <w:pPr>
        <w:pStyle w:val="ListBullet"/>
        <w:spacing w:after="30"/>
      </w:pPr>
      <w:r>
        <w:rPr>
          <w:rFonts w:ascii="Noto Sans" w:hAnsi="Noto Sans" w:eastAsia="Noto Sans"/>
          <w:b/>
          <w:color w:val="1F2937"/>
          <w:sz w:val="18"/>
        </w:rPr>
        <w:t xml:space="preserve">Nie tracić surowych danych. </w:t>
      </w:r>
      <w:r>
        <w:rPr>
          <w:rFonts w:ascii="Noto Sans" w:hAnsi="Noto Sans" w:eastAsia="Noto Sans"/>
          <w:color w:val="1F2937"/>
          <w:sz w:val="18"/>
        </w:rPr>
        <w:t>Importer ma zachować oryginalne archiwum, walidację i pełną semantykę braków.</w:t>
      </w:r>
    </w:p>
    <w:p>
      <w:pPr>
        <w:pStyle w:val="ListBullet"/>
        <w:spacing w:after="30"/>
      </w:pPr>
      <w:r>
        <w:rPr>
          <w:rFonts w:ascii="Noto Sans" w:hAnsi="Noto Sans" w:eastAsia="Noto Sans"/>
          <w:b/>
          <w:color w:val="1F2937"/>
          <w:sz w:val="18"/>
        </w:rPr>
        <w:t xml:space="preserve">Oddzielić ingest od UI. </w:t>
      </w:r>
      <w:r>
        <w:rPr>
          <w:rFonts w:ascii="Noto Sans" w:hAnsi="Noto Sans" w:eastAsia="Noto Sans"/>
          <w:color w:val="1F2937"/>
          <w:sz w:val="18"/>
        </w:rPr>
        <w:t>Parser/normalizacja/metryki pochodne powinny działać niezależnie od Tkintera i być testowalne.</w:t>
      </w:r>
    </w:p>
    <w:p>
      <w:pPr>
        <w:pStyle w:val="ListBullet"/>
        <w:spacing w:after="30"/>
      </w:pPr>
      <w:r>
        <w:rPr>
          <w:rFonts w:ascii="Noto Sans" w:hAnsi="Noto Sans" w:eastAsia="Noto Sans"/>
          <w:b/>
          <w:color w:val="1F2937"/>
          <w:sz w:val="18"/>
        </w:rPr>
        <w:t xml:space="preserve">Utrzymać zgodność wsteczną. </w:t>
      </w:r>
      <w:r>
        <w:rPr>
          <w:rFonts w:ascii="Noto Sans" w:hAnsi="Noto Sans" w:eastAsia="Noto Sans"/>
          <w:color w:val="1F2937"/>
          <w:sz w:val="18"/>
        </w:rPr>
        <w:t>Stare report.json / ZIP / .alprsession oraz nowe rozszerzenia Androida muszą współistnieć.</w:t>
      </w:r>
    </w:p>
    <w:p>
      <w:pPr>
        <w:pStyle w:val="Heading1"/>
      </w:pPr>
      <w:r>
        <w:t>2. Stan aktualny repozytorium Python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238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385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Stan znaleziony</w:t>
            </w:r>
          </w:p>
        </w:tc>
        <w:tc>
          <w:tcPr>
            <w:tcW w:type="dxa" w:w="317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Wniosek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z4_mobile_report_browser.py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Importuje .alprsession/ZIP, pokazuje listę raportów, p95, jakość, score i zakładki szczegółów.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Rozwijać, ale nie doklejać wszystkich analiz bezpośrednio do GUI.</w:t>
            </w:r>
          </w:p>
        </w:tc>
      </w:tr>
      <w:tr>
        <w:trPr>
          <w:cantSplit w:val="true"/>
        </w:trPr>
        <w:tc>
          <w:tcPr>
            <w:tcW w:type="dxa" w:w="238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mobile_package_experiments.py</w:t>
            </w:r>
          </w:p>
        </w:tc>
        <w:tc>
          <w:tcPr>
            <w:tcW w:type="dxa" w:w="385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Ma bezpieczny ReportBundleReader, MobileReportBundle, MobileBenchmarkReport, store, walidację archiwum i scoring.</w:t>
            </w:r>
          </w:p>
        </w:tc>
        <w:tc>
          <w:tcPr>
            <w:tcW w:type="dxa" w:w="317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To właściwa baza kontraktu danych.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Źródło metryk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UI deklaruje report.json dla summary i traces.csv dla wykresów.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Zmienić: pełny report_payload + nowe artefakty są równorzędnymi źródłami; JSON traces może zawierać więcej niż CSV.</w:t>
            </w:r>
          </w:p>
        </w:tc>
      </w:tr>
      <w:tr>
        <w:trPr>
          <w:cantSplit w:val="true"/>
        </w:trPr>
        <w:tc>
          <w:tcPr>
            <w:tcW w:type="dxa" w:w="238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Wykres klatkowy</w:t>
            </w:r>
          </w:p>
        </w:tc>
        <w:tc>
          <w:tcPr>
            <w:tcW w:type="dxa" w:w="385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Tylko pipeline total, MT, MZ, MP z traces.csv.</w:t>
            </w:r>
          </w:p>
        </w:tc>
        <w:tc>
          <w:tcPr>
            <w:tcW w:type="dxa" w:w="317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Rozszerzyć modularnie: termika, flow, jakość obrazu, ROI, consensus, autozoom.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Limit preview</w:t>
            </w:r>
          </w:p>
        </w:tc>
        <w:tc>
          <w:tcPr>
            <w:tcW w:type="dxa" w:w="385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MOBILE_REPORT_TRACE_PREVIEW_ROWS = 5000.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Preview nie może być jednocześnie limitem danych używanych do analizy całej sesji.</w:t>
            </w:r>
          </w:p>
        </w:tc>
      </w:tr>
      <w:tr>
        <w:trPr>
          <w:cantSplit w:val="true"/>
        </w:trPr>
        <w:tc>
          <w:tcPr>
            <w:tcW w:type="dxa" w:w="238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Ranking</w:t>
            </w:r>
          </w:p>
        </w:tc>
        <w:tc>
          <w:tcPr>
            <w:tcW w:type="dxa" w:w="385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Score 0.50 jakość / 0.25 latency / 0.15 memory / 0.10 reliability.</w:t>
            </w:r>
          </w:p>
        </w:tc>
        <w:tc>
          <w:tcPr>
            <w:tcW w:type="dxa" w:w="317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Zostawić jako pomoc w wyborze pakietu; nie zastępować nim analizy eksperymentalnej.</w:t>
            </w:r>
          </w:p>
        </w:tc>
      </w:tr>
    </w:tbl>
    <w:p>
      <w:pPr>
        <w:spacing w:after="0"/>
      </w:pPr>
    </w:p>
    <w:p>
      <w:pPr>
        <w:pStyle w:val="Heading1"/>
      </w:pPr>
      <w:r>
        <w:t>Wspólny kontrakt Android ↔ Desktop</w:t>
      </w:r>
    </w:p>
    <w:p>
      <w:r>
        <w:rPr>
          <w:rFonts w:ascii="Noto Sans" w:hAnsi="Noto Sans" w:eastAsia="Noto Sans"/>
          <w:b/>
          <w:color w:val="1F2937"/>
          <w:sz w:val="19"/>
        </w:rPr>
        <w:t xml:space="preserve">Cel kontraktu. </w:t>
      </w:r>
      <w:r>
        <w:rPr>
          <w:rFonts w:ascii="Noto Sans" w:hAnsi="Noto Sans" w:eastAsia="Noto Sans"/>
          <w:color w:val="1F2937"/>
          <w:sz w:val="19"/>
        </w:rPr>
        <w:t>Zapewnić powtarzalny łańcuch: konfiguracja eksperymentu → pomiar na telefonie → eksport surowych danych → import bez utraty semantyki → analiza porównawcza → wykresy/tabele do pracy inżynierskiej.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true"/>
        </w:trPr>
        <w:tc>
          <w:tcPr>
            <w:tcW w:type="dxa" w:w="238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Zasada</w:t>
            </w:r>
          </w:p>
        </w:tc>
        <w:tc>
          <w:tcPr>
            <w:tcW w:type="dxa" w:w="6973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Wymaganie wspólne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Surowe dane są nadrzędne</w:t>
            </w:r>
          </w:p>
        </w:tc>
        <w:tc>
          <w:tcPr>
            <w:tcW w:type="dxa" w:w="697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Android może generować percentyle i summary, ale Desktop musi mieć możliwość ponownego obliczenia metryk z surowych rekordów.</w:t>
            </w:r>
          </w:p>
        </w:tc>
      </w:tr>
      <w:tr>
        <w:trPr>
          <w:cantSplit w:val="true"/>
        </w:trPr>
        <w:tc>
          <w:tcPr>
            <w:tcW w:type="dxa" w:w="238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Brak ≠ zero</w:t>
            </w:r>
          </w:p>
        </w:tc>
        <w:tc>
          <w:tcPr>
            <w:tcW w:type="dxa" w:w="697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Etap niewykonany ma być null/pusty/brak klucza; 0 oznacza rzeczywiście zmierzony zerowy licznik/czas. Importer nie może wypełniać braków zerami.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Jednostki w nazwach</w:t>
            </w:r>
          </w:p>
        </w:tc>
        <w:tc>
          <w:tcPr>
            <w:tcW w:type="dxa" w:w="697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Stosować jawne sufiksy: _ms, _ns, _px, _ratio, _c, _bytes, _kb. Nie używać wartości procentowych bez określenia, czy 0–1 czy 0–100.</w:t>
            </w:r>
          </w:p>
        </w:tc>
      </w:tr>
      <w:tr>
        <w:trPr>
          <w:cantSplit w:val="true"/>
        </w:trPr>
        <w:tc>
          <w:tcPr>
            <w:tcW w:type="dxa" w:w="238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Czas monotoniczny</w:t>
            </w:r>
          </w:p>
        </w:tc>
        <w:tc>
          <w:tcPr>
            <w:tcW w:type="dxa" w:w="697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Do synchronizacji serii stosować elapsed_ms / elapsed_ns. Czas UTC służy do identyfikacji i prezentacji, nie do mierzenia latency.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Identyfikacja</w:t>
            </w:r>
          </w:p>
        </w:tc>
        <w:tc>
          <w:tcPr>
            <w:tcW w:type="dxa" w:w="697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Każdy przebieg musi mieć stabilne report_id, experiment.session.id, series_id, scenario_id, variant i replicate_index.</w:t>
            </w:r>
          </w:p>
        </w:tc>
      </w:tr>
      <w:tr>
        <w:trPr>
          <w:cantSplit w:val="true"/>
        </w:trPr>
        <w:tc>
          <w:tcPr>
            <w:tcW w:type="dxa" w:w="238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Wersjonowanie</w:t>
            </w:r>
          </w:p>
        </w:tc>
        <w:tc>
          <w:tcPr>
            <w:tcW w:type="dxa" w:w="697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Raport musi identyfikować aplikację, modele i runtime. Porównania nie mogą mieszać niejawnie różnych buildów/modeli.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Kompatybilność</w:t>
            </w:r>
          </w:p>
        </w:tc>
        <w:tc>
          <w:tcPr>
            <w:tcW w:type="dxa" w:w="697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Rozszerzać alpr.mobile_benchmark_report.v1 addytywnie. Stare pola i stare archiwa pozostają czytelne; nowe pola są opcjonalne dla starych raportów.</w:t>
            </w:r>
          </w:p>
        </w:tc>
      </w:tr>
      <w:tr>
        <w:trPr>
          <w:cantSplit w:val="true"/>
        </w:trPr>
        <w:tc>
          <w:tcPr>
            <w:tcW w:type="dxa" w:w="238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Ground truth</w:t>
            </w:r>
          </w:p>
        </w:tc>
        <w:tc>
          <w:tcPr>
            <w:tcW w:type="dxa" w:w="697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Exact match i CER liczyć wyłącznie tam, gdzie istnieje jawny ground truth. Confidence nie jest metryką poprawności.</w:t>
            </w:r>
          </w:p>
        </w:tc>
      </w:tr>
      <w:tr>
        <w:trPr>
          <w:cantSplit w:val="true"/>
        </w:trPr>
        <w:tc>
          <w:tcPr>
            <w:tcW w:type="dxa" w:w="238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confirmed</w:t>
            </w:r>
          </w:p>
        </w:tc>
        <w:tc>
          <w:tcPr>
            <w:tcW w:type="dxa" w:w="697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Nie traktować pola confirmed jako ground truth. Docelowo rozdzielić stabilność tracku, świeży sukces MZ, wsparcie cropa dla konsensusu i ocenę ręczną.</w:t>
            </w:r>
          </w:p>
        </w:tc>
      </w:tr>
      <w:tr>
        <w:trPr>
          <w:cantSplit w:val="true"/>
        </w:trPr>
        <w:tc>
          <w:tcPr>
            <w:tcW w:type="dxa" w:w="238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Nie modyfikować źródeł</w:t>
            </w:r>
          </w:p>
        </w:tc>
        <w:tc>
          <w:tcPr>
            <w:tcW w:type="dxa" w:w="697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Desktop przechowuje raporty źródłowe jako immutable; wszystkie metryki pochodne, adnotacje analityczne i wykresy mają osobny cache/manifest analizy.</w:t>
            </w:r>
          </w:p>
        </w:tc>
      </w:tr>
    </w:tbl>
    <w:p>
      <w:pPr>
        <w:spacing w:after="0"/>
      </w:pPr>
    </w:p>
    <w:p>
      <w:pPr>
        <w:pStyle w:val="Heading2"/>
      </w:pPr>
      <w:r>
        <w:t>Wspólny model logiczny danych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170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Warstwa</w:t>
            </w:r>
          </w:p>
        </w:tc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Klucz / ziarnistość</w:t>
            </w:r>
          </w:p>
        </w:tc>
        <w:tc>
          <w:tcPr>
            <w:tcW w:type="dxa" w:w="481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Przeznaczenie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SESSION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1 rekord na raport / przebieg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Konfiguracja, wersje, urządzenie, model/runtime, eksperyment, wyniki zbiorcze.</w:t>
            </w:r>
          </w:p>
        </w:tc>
      </w:tr>
      <w:tr>
        <w:trPr>
          <w:cantSplit w:val="true"/>
        </w:trPr>
        <w:tc>
          <w:tcPr>
            <w:tcW w:type="dxa" w:w="170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FRAME</w:t>
            </w:r>
          </w:p>
        </w:tc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1 rekord na przetworzoną klatkę</w:t>
            </w:r>
          </w:p>
        </w:tc>
        <w:tc>
          <w:tcPr>
            <w:tcW w:type="dxa" w:w="481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Czasy etapów, confidence, ROI, geometria, ruch, status, pamięć.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FRAME_FLOW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1 rekord / sekunda lub lekki rekord wejściowej klatki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Received/processed/skipped, przepustowość, estymacja upstream gaps i frame age.</w:t>
            </w:r>
          </w:p>
        </w:tc>
      </w:tr>
      <w:tr>
        <w:trPr>
          <w:cantSplit w:val="true"/>
        </w:trPr>
        <w:tc>
          <w:tcPr>
            <w:tcW w:type="dxa" w:w="170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TRACK / CROP</w:t>
            </w:r>
          </w:p>
        </w:tc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1 rekord na zapisany crop / jednostkę jakościową</w:t>
            </w:r>
          </w:p>
        </w:tc>
        <w:tc>
          <w:tcPr>
            <w:tcW w:type="dxa" w:w="481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GT, exact/CER, rozmiar/geometria tablicy, jakość obrazu, zoom, wynik.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THERMAL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1 rekord ~1 Hz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Temperatura, thermal status/headroom, bateria; korelacja z wydajnością.</w:t>
            </w:r>
          </w:p>
        </w:tc>
      </w:tr>
      <w:tr>
        <w:trPr>
          <w:cantSplit w:val="true"/>
        </w:trPr>
        <w:tc>
          <w:tcPr>
            <w:tcW w:type="dxa" w:w="170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EVENT</w:t>
            </w:r>
          </w:p>
        </w:tc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rekord tylko przy zdarzeniu</w:t>
            </w:r>
          </w:p>
        </w:tc>
        <w:tc>
          <w:tcPr>
            <w:tcW w:type="dxa" w:w="481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MZ/consensus, autozoom, lock, scene reset, track lifecycle; rekonstrukcja przebiegu systemu.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eastAsia="Liberation Mono"/>
                <w:color w:val="1F2937"/>
                <w:sz w:val="15"/>
              </w:rPr>
              <w:t>Klucze łączenia:</w:t>
              <w:br/>
              <w:t>SESSION.report_id / experiment.session.id</w:t>
              <w:br/>
              <w:t>FRAME.frame_id</w:t>
              <w:br/>
              <w:t>TRACK/CROP: session_id + track_id (+ capture_id)</w:t>
              <w:br/>
              <w:t>EVENT: experiment_session_id + elapsed_ms + event_seq; opcjonalnie frame_id/track_id</w:t>
              <w:br/>
              <w:t>THERMAL / FRAME_FLOW: experiment_session_id + elapsed_ms</w:t>
              <w:br/>
              <w:t>Łączenie time-series: po elapsed_ms (nearest/backward z jawnie określoną tolerancją).</w:t>
            </w:r>
          </w:p>
        </w:tc>
      </w:tr>
    </w:tbl>
    <w:p>
      <w:pPr>
        <w:spacing w:after="0"/>
      </w:pPr>
    </w:p>
    <w:p>
      <w:pPr>
        <w:pStyle w:val="Heading1"/>
      </w:pPr>
      <w:r>
        <w:t>3. P0 – warstwa normalizacji danych</w:t>
      </w:r>
    </w:p>
    <w:p>
      <w:r>
        <w:rPr>
          <w:rFonts w:ascii="Noto Sans" w:hAnsi="Noto Sans" w:eastAsia="Noto Sans"/>
          <w:color w:val="1F2937"/>
          <w:sz w:val="18"/>
        </w:rPr>
        <w:t>Najważniejsza zmiana architektoniczna: MobileReportBrowser nie powinien bezpośrednio interpretować dziesiątek kluczy JSON/CSV. Utworzyć neutralny model danych, do którego adaptery mapują raporty stare i nowe.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255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Proponowany typ</w:t>
            </w:r>
          </w:p>
        </w:tc>
        <w:tc>
          <w:tcPr>
            <w:tcW w:type="dxa" w:w="198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Ziarnistość</w:t>
            </w:r>
          </w:p>
        </w:tc>
        <w:tc>
          <w:tcPr>
            <w:tcW w:type="dxa" w:w="515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Minimalne pola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ExperimentSessionRecord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1 / raport</w:t>
            </w:r>
          </w:p>
        </w:tc>
        <w:tc>
          <w:tcPr>
            <w:tcW w:type="dxa" w:w="515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report_id, experiment_session_id, series_id, scenario_id, variant, replicate_index, device, app_git_sha, model fingerprints, runtime, resolution, recognition profile, autozoom config.</w:t>
            </w:r>
          </w:p>
        </w:tc>
      </w:tr>
      <w:tr>
        <w:trPr>
          <w:cantSplit w:val="true"/>
        </w:trPr>
        <w:tc>
          <w:tcPr>
            <w:tcW w:type="dxa" w:w="255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FrameTraceRecord</w:t>
            </w:r>
          </w:p>
        </w:tc>
        <w:tc>
          <w:tcPr>
            <w:tcW w:type="dxa" w:w="198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1 / processed frame</w:t>
            </w:r>
          </w:p>
        </w:tc>
        <w:tc>
          <w:tcPr>
            <w:tcW w:type="dxa" w:w="515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frame_id, timestamp/elapsed, status, text, stage_ms.*, confidence.*, counters.*, memory.*, geometry/scene/lock fields.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FrameFlowBucket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~1 / s</w:t>
            </w:r>
          </w:p>
        </w:tc>
        <w:tc>
          <w:tcPr>
            <w:tcW w:type="dxa" w:w="515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elapsed_ms, received, processed, skipped_gate, skipped_transform, estimated_upstream_gaps.</w:t>
            </w:r>
          </w:p>
        </w:tc>
      </w:tr>
      <w:tr>
        <w:trPr>
          <w:cantSplit w:val="true"/>
        </w:trPr>
        <w:tc>
          <w:tcPr>
            <w:tcW w:type="dxa" w:w="255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ThermalSample</w:t>
            </w:r>
          </w:p>
        </w:tc>
        <w:tc>
          <w:tcPr>
            <w:tcW w:type="dxa" w:w="198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~1 / s</w:t>
            </w:r>
          </w:p>
        </w:tc>
        <w:tc>
          <w:tcPr>
            <w:tcW w:type="dxa" w:w="515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elapsed_ms, temp_c, thermal_status, headroom, battery%, charging, optional available_memory.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RecognitionEvent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event</w:t>
            </w:r>
          </w:p>
        </w:tc>
        <w:tc>
          <w:tcPr>
            <w:tcW w:type="dxa" w:w="515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event_seq, elapsed_ms, frame_id, track_id, event_type, prediction, confidence, attempts/observations, stable/support flags, zoom/lock context.</w:t>
            </w:r>
          </w:p>
        </w:tc>
      </w:tr>
      <w:tr>
        <w:trPr>
          <w:cantSplit w:val="true"/>
        </w:trPr>
        <w:tc>
          <w:tcPr>
            <w:tcW w:type="dxa" w:w="255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TrackCropRecord</w:t>
            </w:r>
          </w:p>
        </w:tc>
        <w:tc>
          <w:tcPr>
            <w:tcW w:type="dxa" w:w="198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crop / quality unit</w:t>
            </w:r>
          </w:p>
        </w:tc>
        <w:tc>
          <w:tcPr>
            <w:tcW w:type="dxa" w:w="515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session_id, track_id, capture_id, prediction, GT, exact, edit distance/CER contribution, confidence, sharpness, plate geometry, zoom, consensus.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Każdy typ ma zachować raw_extra / source_payload albo możliwość dojścia do surowego źródła – nowe pola Androida nie mogą znikać tylko dlatego, że Desktop jeszcze ich nie zna.</w:t>
      </w: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Adapter v1 ma tolerować brak nowych plików i tworzyć rekordy z None/unavailable, nie z 0.</w:t>
      </w: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Parser ma preferować strukturalny report_payload/traces, gdy zawiera pola niewystępujące w traces.csv; CSV pozostaje formatem interoperacyjnym i fallbackiem.</w:t>
      </w:r>
    </w:p>
    <w:p>
      <w:pPr>
        <w:pStyle w:val="Heading1"/>
      </w:pPr>
      <w:r>
        <w:t>4. P0 – poprawna obsługa długich raportów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8E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" w:hAnsi="Noto Sans" w:eastAsia="Noto Sans"/>
                <w:b/>
                <w:color w:val="1F4E78"/>
                <w:sz w:val="18"/>
              </w:rPr>
              <w:t xml:space="preserve">Ryzyko: </w:t>
            </w:r>
            <w:r>
              <w:rPr>
                <w:rFonts w:ascii="Noto Sans" w:hAnsi="Noto Sans" w:eastAsia="Noto Sans"/>
                <w:color w:val="1F2937"/>
                <w:sz w:val="18"/>
              </w:rPr>
              <w:t>Obecny MobileReportBundle przechowuje trace_rows jako preview ograniczony do 5000. To dobre dla UI, ale nie może być podstawą obliczeń dla 10–20 minutowej sesji, jeśli źródło zawiera więcej danych.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rPr>
          <w:rFonts w:ascii="Noto Sans" w:hAnsi="Noto Sans" w:eastAsia="Noto Sans"/>
          <w:b/>
          <w:color w:val="1F2937"/>
          <w:sz w:val="18"/>
        </w:rPr>
        <w:t xml:space="preserve">Rozdziel preview i analysis source. </w:t>
      </w:r>
      <w:r>
        <w:rPr>
          <w:rFonts w:ascii="Noto Sans" w:hAnsi="Noto Sans" w:eastAsia="Noto Sans"/>
          <w:color w:val="1F2937"/>
          <w:sz w:val="18"/>
        </w:rPr>
        <w:t>trace_rows_preview może być ograniczony; analiza musi czytać pełny traces.csv/report traces strumieniowo lub z lokalnego cache.</w:t>
      </w:r>
    </w:p>
    <w:p>
      <w:pPr>
        <w:pStyle w:val="ListBullet"/>
        <w:spacing w:after="30"/>
      </w:pPr>
      <w:r>
        <w:rPr>
          <w:rFonts w:ascii="Noto Sans" w:hAnsi="Noto Sans" w:eastAsia="Noto Sans"/>
          <w:b/>
          <w:color w:val="1F2937"/>
          <w:sz w:val="18"/>
        </w:rPr>
        <w:t xml:space="preserve">Nie ładować wszystkiego bez potrzeby. </w:t>
      </w:r>
      <w:r>
        <w:rPr>
          <w:rFonts w:ascii="Noto Sans" w:hAnsi="Noto Sans" w:eastAsia="Noto Sans"/>
          <w:color w:val="1F2937"/>
          <w:sz w:val="18"/>
        </w:rPr>
        <w:t>Dla dużych plików użyć iteracyjnego csv.DictReader / JSONL; dla wykresu można downsamplować dopiero po obliczeniu metryk.</w:t>
      </w:r>
    </w:p>
    <w:p>
      <w:pPr>
        <w:pStyle w:val="ListBullet"/>
        <w:spacing w:after="30"/>
      </w:pPr>
      <w:r>
        <w:rPr>
          <w:rFonts w:ascii="Noto Sans" w:hAnsi="Noto Sans" w:eastAsia="Noto Sans"/>
          <w:b/>
          <w:color w:val="1F2937"/>
          <w:sz w:val="18"/>
        </w:rPr>
        <w:t xml:space="preserve">Zachować liczniki kompletności. </w:t>
      </w:r>
      <w:r>
        <w:rPr>
          <w:rFonts w:ascii="Noto Sans" w:hAnsi="Noto Sans" w:eastAsia="Noto Sans"/>
          <w:color w:val="1F2937"/>
          <w:sz w:val="18"/>
        </w:rPr>
        <w:t>trace_total_source, trace_rows_loaded, trace_rows_retained_by_android, evicted_count – jeżeli dostępne.</w:t>
      </w:r>
    </w:p>
    <w:p>
      <w:pPr>
        <w:pStyle w:val="ListBullet"/>
        <w:spacing w:after="30"/>
      </w:pPr>
      <w:r>
        <w:rPr>
          <w:rFonts w:ascii="Noto Sans" w:hAnsi="Noto Sans" w:eastAsia="Noto Sans"/>
          <w:b/>
          <w:color w:val="1F2937"/>
          <w:sz w:val="18"/>
        </w:rPr>
        <w:t xml:space="preserve">Ostrzegać użytkownika. </w:t>
      </w:r>
      <w:r>
        <w:rPr>
          <w:rFonts w:ascii="Noto Sans" w:hAnsi="Noto Sans" w:eastAsia="Noto Sans"/>
          <w:color w:val="1F2937"/>
          <w:sz w:val="18"/>
        </w:rPr>
        <w:t>Raport z uciętym początkiem serii nie może po cichu zasilać wykresu thermal trend.</w:t>
      </w:r>
    </w:p>
    <w:p>
      <w:pPr>
        <w:pStyle w:val="Heading1"/>
      </w:pPr>
      <w:r>
        <w:t>5. P0 – ingest i walidacja nowych artefaktów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true"/>
        </w:trPr>
        <w:tc>
          <w:tcPr>
            <w:tcW w:type="dxa" w:w="226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Artefakt</w:t>
            </w:r>
          </w:p>
        </w:tc>
        <w:tc>
          <w:tcPr>
            <w:tcW w:type="dxa" w:w="7143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Zachowanie Desktopu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report.json</w:t>
            </w:r>
          </w:p>
        </w:tc>
        <w:tc>
          <w:tcPr>
            <w:tcW w:type="dxa" w:w="714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Czytać summary i pełne konfiguracje. Zachować raw payload.</w:t>
            </w:r>
          </w:p>
        </w:tc>
      </w:tr>
      <w:tr>
        <w:trPr>
          <w:cantSplit w:val="true"/>
        </w:trPr>
        <w:tc>
          <w:tcPr>
            <w:tcW w:type="dxa" w:w="226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traces.csv</w:t>
            </w:r>
          </w:p>
        </w:tc>
        <w:tc>
          <w:tcPr>
            <w:tcW w:type="dxa" w:w="714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Czytać pełny strumień do warstwy FRAME; nie ograniczać obliczeń do preview.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thermal.csv</w:t>
            </w:r>
          </w:p>
        </w:tc>
        <w:tc>
          <w:tcPr>
            <w:tcW w:type="dxa" w:w="714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Walidować monotoniczny elapsed_ms; normalizować brak headroomu do None.</w:t>
            </w:r>
          </w:p>
        </w:tc>
      </w:tr>
      <w:tr>
        <w:trPr>
          <w:cantSplit w:val="true"/>
        </w:trPr>
        <w:tc>
          <w:tcPr>
            <w:tcW w:type="dxa" w:w="226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frame_flow.csv</w:t>
            </w:r>
          </w:p>
        </w:tc>
        <w:tc>
          <w:tcPr>
            <w:tcW w:type="dxa" w:w="714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Sprawdzić spójność sum: received/processed/skips; nie traktować estimated_upstream_gaps jako pewnego CameraX drop.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events.jsonl/csv</w:t>
            </w:r>
          </w:p>
        </w:tc>
        <w:tc>
          <w:tcPr>
            <w:tcW w:type="dxa" w:w="714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Walidować event_seq, session ID, kolejność czasu; tolerować eventy nieznane nowszej wersji Desktopu.</w:t>
            </w:r>
          </w:p>
        </w:tc>
      </w:tr>
      <w:tr>
        <w:trPr>
          <w:cantSplit w:val="true"/>
        </w:trPr>
        <w:tc>
          <w:tcPr>
            <w:tcW w:type="dxa" w:w="226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samples/index.csv</w:t>
            </w:r>
          </w:p>
        </w:tc>
        <w:tc>
          <w:tcPr>
            <w:tcW w:type="dxa" w:w="714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Łączyć z annotations.jsonl i report quality po capture_id/session_id/track_id.</w:t>
            </w:r>
          </w:p>
        </w:tc>
      </w:tr>
      <w:tr>
        <w:trPr>
          <w:cantSplit w:val="true"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manifest.json</w:t>
            </w:r>
          </w:p>
        </w:tc>
        <w:tc>
          <w:tcPr>
            <w:tcW w:type="dxa" w:w="714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Weryfikować SHA-256 nowych plików zgodnie z istniejącą logiką. Nie wyodrębniać archiwum w niebezpieczny sposób.</w:t>
            </w:r>
          </w:p>
        </w:tc>
      </w:tr>
    </w:tbl>
    <w:p>
      <w:pPr>
        <w:spacing w:after="0"/>
      </w:pPr>
    </w:p>
    <w:p>
      <w:pPr>
        <w:pStyle w:val="Heading1"/>
      </w:pPr>
      <w:r>
        <w:t>6. P0 – indeks raportów i deduplikacja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true"/>
        </w:trPr>
        <w:tc>
          <w:tcPr>
            <w:tcW w:type="dxa" w:w="340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Pole indeksu</w:t>
            </w:r>
          </w:p>
        </w:tc>
        <w:tc>
          <w:tcPr>
            <w:tcW w:type="dxa" w:w="600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Po co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source_archive_sha256</w:t>
            </w:r>
          </w:p>
        </w:tc>
        <w:tc>
          <w:tcPr>
            <w:tcW w:type="dxa" w:w="600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Deduplikacja identycznych importów niezależnie od nazwy pliku.</w:t>
            </w:r>
          </w:p>
        </w:tc>
      </w:tr>
      <w:tr>
        <w:trPr>
          <w:cantSplit w:val="true"/>
        </w:trPr>
        <w:tc>
          <w:tcPr>
            <w:tcW w:type="dxa" w:w="340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report_id / experiment_session_id</w:t>
            </w:r>
          </w:p>
        </w:tc>
        <w:tc>
          <w:tcPr>
            <w:tcW w:type="dxa" w:w="600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Tożsamość konkretnego przebiegu.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series_id / scenario_id / variant / replicate_index</w:t>
            </w:r>
          </w:p>
        </w:tc>
        <w:tc>
          <w:tcPr>
            <w:tcW w:type="dxa" w:w="600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Automatyczne grupowanie porównań.</w:t>
            </w:r>
          </w:p>
        </w:tc>
      </w:tr>
      <w:tr>
        <w:trPr>
          <w:cantSplit w:val="true"/>
        </w:trPr>
        <w:tc>
          <w:tcPr>
            <w:tcW w:type="dxa" w:w="340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app_git_sha</w:t>
            </w:r>
          </w:p>
        </w:tc>
        <w:tc>
          <w:tcPr>
            <w:tcW w:type="dxa" w:w="600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Guard przed porównaniem różnych wersji kodu.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device identity</w:t>
            </w:r>
          </w:p>
        </w:tc>
        <w:tc>
          <w:tcPr>
            <w:tcW w:type="dxa" w:w="600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Guard urządzenia.</w:t>
            </w:r>
          </w:p>
        </w:tc>
      </w:tr>
      <w:tr>
        <w:trPr>
          <w:cantSplit w:val="true"/>
        </w:trPr>
        <w:tc>
          <w:tcPr>
            <w:tcW w:type="dxa" w:w="340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MP/MT/MZ fingerprint + runtime/precision</w:t>
            </w:r>
          </w:p>
        </w:tc>
        <w:tc>
          <w:tcPr>
            <w:tcW w:type="dxa" w:w="600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Guard modeli i środowisk wykonawczych.</w:t>
            </w:r>
          </w:p>
        </w:tc>
      </w:tr>
      <w:tr>
        <w:trPr>
          <w:cantSplit w:val="true"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capture actual resolution / recognition profile / autozoom</w:t>
            </w:r>
          </w:p>
        </w:tc>
        <w:tc>
          <w:tcPr>
            <w:tcW w:type="dxa" w:w="600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Guard konfiguracji pipeline’u.</w:t>
            </w:r>
          </w:p>
        </w:tc>
      </w:tr>
      <w:tr>
        <w:trPr>
          <w:cantSplit w:val="true"/>
        </w:trPr>
        <w:tc>
          <w:tcPr>
            <w:tcW w:type="dxa" w:w="340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validation completeness flags</w:t>
            </w:r>
          </w:p>
        </w:tc>
        <w:tc>
          <w:tcPr>
            <w:tcW w:type="dxa" w:w="600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Czy raport nadaje się do latency, thermal, quality, consensus, autozoom analysis.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MobilePackageExperimentStore może pozostać centralnym store, ale rekord importu powinien przechowywać wersję kontraktu i hash źródła.</w:t>
      </w: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Nigdy nie nadpisywać źródłowego raportu po dodaniu opisów/etykiet w Desktopie. Lokalne adnotacje mają osobny plik/store.</w:t>
      </w:r>
    </w:p>
    <w:p>
      <w:pPr>
        <w:pStyle w:val="Heading1"/>
      </w:pPr>
      <w:r>
        <w:t>7. P0 – Comparison Eligibility Guard</w:t>
      </w:r>
    </w:p>
    <w:p>
      <w:r>
        <w:rPr>
          <w:rFonts w:ascii="Noto Sans" w:hAnsi="Noto Sans" w:eastAsia="Noto Sans"/>
          <w:color w:val="1F2937"/>
          <w:sz w:val="18"/>
        </w:rPr>
        <w:t>Przed wygenerowaniem wykresu porównawczego Desktop powinien sprawdzić, czy raporty różnią się tylko badaną zmienną albo czy użytkownik jawnie zaakceptował dodatkowe różnice.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true"/>
        </w:trPr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Guard</w:t>
            </w:r>
          </w:p>
        </w:tc>
        <w:tc>
          <w:tcPr>
            <w:tcW w:type="dxa" w:w="6576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Domyślne zachowanie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app_git_sha</w:t>
            </w:r>
          </w:p>
        </w:tc>
        <w:tc>
          <w:tcPr>
            <w:tcW w:type="dxa" w:w="65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Błąd/ostrzeżenie wysokiego poziomu przy różnicy.</w:t>
            </w:r>
          </w:p>
        </w:tc>
      </w:tr>
      <w:tr>
        <w:trPr>
          <w:cantSplit w:val="true"/>
        </w:trPr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device + Android</w:t>
            </w:r>
          </w:p>
        </w:tc>
        <w:tc>
          <w:tcPr>
            <w:tcW w:type="dxa" w:w="657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Błąd dla eksperymentu mającego porównywać runtime/ROI na jednym urządzeniu.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model fingerprints</w:t>
            </w:r>
          </w:p>
        </w:tc>
        <w:tc>
          <w:tcPr>
            <w:tcW w:type="dxa" w:w="65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Muszą być stałe przy porównaniu runtime/ROI; mogą być zmienne tylko w eksperymencie modelowym.</w:t>
            </w:r>
          </w:p>
        </w:tc>
      </w:tr>
      <w:tr>
        <w:trPr>
          <w:cantSplit w:val="true"/>
        </w:trPr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resolution/profile</w:t>
            </w:r>
          </w:p>
        </w:tc>
        <w:tc>
          <w:tcPr>
            <w:tcW w:type="dxa" w:w="657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Muszą być stałe poza eksperymentem badającym rozdzielczość/profil.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scenario_id / scene set</w:t>
            </w:r>
          </w:p>
        </w:tc>
        <w:tc>
          <w:tcPr>
            <w:tcW w:type="dxa" w:w="65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Muszą odpowiadać temu samemu materiałowi lub porównanie oznaczyć jako niesparowane.</w:t>
            </w:r>
          </w:p>
        </w:tc>
      </w:tr>
      <w:tr>
        <w:trPr>
          <w:cantSplit w:val="true"/>
        </w:trPr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thermal start condition</w:t>
            </w:r>
          </w:p>
        </w:tc>
        <w:tc>
          <w:tcPr>
            <w:tcW w:type="dxa" w:w="657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Sprawdzić, czy starty są porównywalne; różne temperatury startowe flagować.</w:t>
            </w:r>
          </w:p>
        </w:tc>
      </w:tr>
      <w:tr>
        <w:trPr>
          <w:cantSplit w:val="true"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GT coverage</w:t>
            </w:r>
          </w:p>
        </w:tc>
        <w:tc>
          <w:tcPr>
            <w:tcW w:type="dxa" w:w="657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Pokazywać N i coverage; nie porównywać exact/CER bez jawnej liczebności.</w:t>
            </w:r>
          </w:p>
        </w:tc>
      </w:tr>
      <w:tr>
        <w:trPr>
          <w:cantSplit w:val="true"/>
        </w:trPr>
        <w:tc>
          <w:tcPr>
            <w:tcW w:type="dxa" w:w="283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trace completeness</w:t>
            </w:r>
          </w:p>
        </w:tc>
        <w:tc>
          <w:tcPr>
            <w:tcW w:type="dxa" w:w="657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Raport ucięty/niepełny nie może być użyty do trendu czasowego bez ostrzeżenia.</w:t>
            </w:r>
          </w:p>
        </w:tc>
      </w:tr>
    </w:tbl>
    <w:p>
      <w:pPr>
        <w:spacing w:after="0"/>
      </w:pPr>
    </w:p>
    <w:p>
      <w:pPr>
        <w:pStyle w:val="Heading1"/>
      </w:pPr>
      <w:r>
        <w:t>8. P0 – metryki pochodne do obliczania na Desktopie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true"/>
        </w:trPr>
        <w:tc>
          <w:tcPr>
            <w:tcW w:type="dxa" w:w="317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Metryka</w:t>
            </w:r>
          </w:p>
        </w:tc>
        <w:tc>
          <w:tcPr>
            <w:tcW w:type="dxa" w:w="6236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Definicja / warunek</w:t>
            </w:r>
          </w:p>
        </w:tc>
      </w:tr>
      <w:tr>
        <w:trPr>
          <w:cantSplit w:val="true"/>
        </w:trPr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received_fps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frames_received / czas bucketu.</w:t>
            </w:r>
          </w:p>
        </w:tc>
      </w:tr>
      <w:tr>
        <w:trPr>
          <w:cantSplit w:val="true"/>
        </w:trPr>
        <w:tc>
          <w:tcPr>
            <w:tcW w:type="dxa" w:w="317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processed_fps</w:t>
            </w:r>
          </w:p>
        </w:tc>
        <w:tc>
          <w:tcPr>
            <w:tcW w:type="dxa" w:w="623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frames_processed / czas bucketu.</w:t>
            </w:r>
          </w:p>
        </w:tc>
      </w:tr>
      <w:tr>
        <w:trPr>
          <w:cantSplit w:val="true"/>
        </w:trPr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app_skip_rate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(skipped_gate + skipped_transform) / frames_received.</w:t>
            </w:r>
          </w:p>
        </w:tc>
      </w:tr>
      <w:tr>
        <w:trPr>
          <w:cantSplit w:val="true"/>
        </w:trPr>
        <w:tc>
          <w:tcPr>
            <w:tcW w:type="dxa" w:w="317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estimated_upstream_gap_rate</w:t>
            </w:r>
          </w:p>
        </w:tc>
        <w:tc>
          <w:tcPr>
            <w:tcW w:type="dxa" w:w="623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estimated_upstream_gaps / (received + gaps); zawsze oznaczać jako estymację.</w:t>
            </w:r>
          </w:p>
        </w:tc>
      </w:tr>
      <w:tr>
        <w:trPr>
          <w:cantSplit w:val="true"/>
        </w:trPr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stage share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inference_sum / total; auxiliary_sum / total; pipeline_overhead / total.</w:t>
            </w:r>
          </w:p>
        </w:tc>
      </w:tr>
      <w:tr>
        <w:trPr>
          <w:cantSplit w:val="true"/>
        </w:trPr>
        <w:tc>
          <w:tcPr>
            <w:tcW w:type="dxa" w:w="317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MZ runs per confirmed track</w:t>
            </w:r>
          </w:p>
        </w:tc>
        <w:tc>
          <w:tcPr>
            <w:tcW w:type="dxa" w:w="623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suma mz_attempt / liczba tracków potwierdzonych; z eventów, nie z liczby cropów.</w:t>
            </w:r>
          </w:p>
        </w:tc>
      </w:tr>
      <w:tr>
        <w:trPr>
          <w:cantSplit w:val="true"/>
        </w:trPr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time_to_first_recognition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pierwszy mz_result z niepustym tekstem – track/session; rozróżnić od globalnego report time_to_first_result.</w:t>
            </w:r>
          </w:p>
        </w:tc>
      </w:tr>
      <w:tr>
        <w:trPr>
          <w:cantSplit w:val="true"/>
        </w:trPr>
        <w:tc>
          <w:tcPr>
            <w:tcW w:type="dxa" w:w="317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time_to_confirmed</w:t>
            </w:r>
          </w:p>
        </w:tc>
        <w:tc>
          <w:tcPr>
            <w:tcW w:type="dxa" w:w="623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consensus_confirmed elapsed – track_created/first detection.</w:t>
            </w:r>
          </w:p>
        </w:tc>
      </w:tr>
      <w:tr>
        <w:trPr>
          <w:cantSplit w:val="true"/>
        </w:trPr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correction_rate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udział tracków, gdzie pierwszy pełny odczyt był błędny względem GT, a późniejszy konsensus stał się poprawny.</w:t>
            </w:r>
          </w:p>
        </w:tc>
      </w:tr>
      <w:tr>
        <w:trPr>
          <w:cantSplit w:val="true"/>
        </w:trPr>
        <w:tc>
          <w:tcPr>
            <w:tcW w:type="dxa" w:w="317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false_confirmation_rate</w:t>
            </w:r>
          </w:p>
        </w:tc>
        <w:tc>
          <w:tcPr>
            <w:tcW w:type="dxa" w:w="623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udział tracków z track_confirmed=true, których potwierdzony tekst ≠ GT.</w:t>
            </w:r>
          </w:p>
        </w:tc>
      </w:tr>
      <w:tr>
        <w:trPr>
          <w:cantSplit w:val="true"/>
        </w:trPr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plate exact match by size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Binning po plate_height_px lub area_ratio; zawsze pokazać N w binie.</w:t>
            </w:r>
          </w:p>
        </w:tc>
      </w:tr>
      <w:tr>
        <w:trPr>
          <w:cantSplit w:val="true"/>
        </w:trPr>
        <w:tc>
          <w:tcPr>
            <w:tcW w:type="dxa" w:w="317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CER by difficulty</w:t>
            </w:r>
          </w:p>
        </w:tc>
        <w:tc>
          <w:tcPr>
            <w:tcW w:type="dxa" w:w="623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CER/normalized edit distance względem sharpness, luminance, plate_fit/perspective.</w:t>
            </w:r>
          </w:p>
        </w:tc>
      </w:tr>
      <w:tr>
        <w:trPr>
          <w:cantSplit w:val="true"/>
        </w:trPr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target_lock_success_rate</w:t>
            </w:r>
          </w:p>
        </w:tc>
        <w:tc>
          <w:tcPr>
            <w:tcW w:type="dxa" w:w="623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autozoom cycles, które utrzymały target do końca / kompletne autozoom cycles; definicję oprzeć na eventach.</w:t>
            </w:r>
          </w:p>
        </w:tc>
      </w:tr>
      <w:tr>
        <w:trPr>
          <w:cantSplit w:val="true"/>
        </w:trPr>
        <w:tc>
          <w:tcPr>
            <w:tcW w:type="dxa" w:w="3175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cost per correct recognition</w:t>
            </w:r>
          </w:p>
        </w:tc>
        <w:tc>
          <w:tcPr>
            <w:tcW w:type="dxa" w:w="623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łączny compute/pipeline time / liczba poprawnych unikalnych tracków – pomocnicza metryka systemowa.</w:t>
            </w:r>
          </w:p>
        </w:tc>
      </w:tr>
    </w:tbl>
    <w:p>
      <w:pPr>
        <w:spacing w:after="0"/>
      </w:pPr>
    </w:p>
    <w:p>
      <w:pPr>
        <w:pStyle w:val="Heading1"/>
      </w:pPr>
      <w:r>
        <w:t>9. Katalog wykresów do pracy inżynierskiej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68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96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Wykres</w:t>
            </w:r>
          </w:p>
        </w:tc>
        <w:tc>
          <w:tcPr>
            <w:tcW w:type="dxa" w:w="476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Dane / filtr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W1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Latency w czasie + temperatura / headroom</w:t>
            </w:r>
          </w:p>
        </w:tc>
        <w:tc>
          <w:tcPr>
            <w:tcW w:type="dxa" w:w="476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FRAME total/MT/MZ z THERMAL po elapsed_ms; jedna sesja długa.</w:t>
            </w:r>
          </w:p>
        </w:tc>
      </w:tr>
      <w:tr>
        <w:trPr>
          <w:cantSplit w:val="true"/>
        </w:trPr>
        <w:tc>
          <w:tcPr>
            <w:tcW w:type="dxa" w:w="68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W2</w:t>
            </w:r>
          </w:p>
        </w:tc>
        <w:tc>
          <w:tcPr>
            <w:tcW w:type="dxa" w:w="396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Received FPS vs processed FPS + skip rate</w:t>
            </w:r>
          </w:p>
        </w:tc>
        <w:tc>
          <w:tcPr>
            <w:tcW w:type="dxa" w:w="476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FRAME_FLOW; pokazuje przepustowość i adaptacyjny gate.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W3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Udział czasu: inference / auxiliary / overhead</w:t>
            </w:r>
          </w:p>
        </w:tc>
        <w:tc>
          <w:tcPr>
            <w:tcW w:type="dxa" w:w="476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Stacked bar per wariant R0–R4/runtime.</w:t>
            </w:r>
          </w:p>
        </w:tc>
      </w:tr>
      <w:tr>
        <w:trPr>
          <w:cantSplit w:val="true"/>
        </w:trPr>
        <w:tc>
          <w:tcPr>
            <w:tcW w:type="dxa" w:w="68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W4</w:t>
            </w:r>
          </w:p>
        </w:tc>
        <w:tc>
          <w:tcPr>
            <w:tcW w:type="dxa" w:w="396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Plate height/area vs exact match lub edit distance</w:t>
            </w:r>
          </w:p>
        </w:tc>
        <w:tc>
          <w:tcPr>
            <w:tcW w:type="dxa" w:w="476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TRACK/CROP z GT; scatter + bin summary.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W5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Sharpness / plate_fit vs błąd</w:t>
            </w:r>
          </w:p>
        </w:tc>
        <w:tc>
          <w:tcPr>
            <w:tcW w:type="dxa" w:w="476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TRACK/CROP z GT; scatter / binning.</w:t>
            </w:r>
          </w:p>
        </w:tc>
      </w:tr>
      <w:tr>
        <w:trPr>
          <w:cantSplit w:val="true"/>
        </w:trPr>
        <w:tc>
          <w:tcPr>
            <w:tcW w:type="dxa" w:w="68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W6</w:t>
            </w:r>
          </w:p>
        </w:tc>
        <w:tc>
          <w:tcPr>
            <w:tcW w:type="dxa" w:w="396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R0–R4: p50/p95 pipeline + exact/CER</w:t>
            </w:r>
          </w:p>
        </w:tc>
        <w:tc>
          <w:tcPr>
            <w:tcW w:type="dxa" w:w="476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SESSION grupowane po series/scenario; powtórzenia jako N/error bars.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W7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Liczba prób MZ do potwierdzenia</w:t>
            </w:r>
          </w:p>
        </w:tc>
        <w:tc>
          <w:tcPr>
            <w:tcW w:type="dxa" w:w="476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EVENT; histogram/CDF + median/p95.</w:t>
            </w:r>
          </w:p>
        </w:tc>
      </w:tr>
      <w:tr>
        <w:trPr>
          <w:cantSplit w:val="true"/>
        </w:trPr>
        <w:tc>
          <w:tcPr>
            <w:tcW w:type="dxa" w:w="68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W8</w:t>
            </w:r>
          </w:p>
        </w:tc>
        <w:tc>
          <w:tcPr>
            <w:tcW w:type="dxa" w:w="396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Pierwszy odczyt vs konsensus</w:t>
            </w:r>
          </w:p>
        </w:tc>
        <w:tc>
          <w:tcPr>
            <w:tcW w:type="dxa" w:w="476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EVENT + GT: correction rate i false confirmation.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W9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Autozoom OFF vs ON wg rozmiaru tablicy</w:t>
            </w:r>
          </w:p>
        </w:tc>
        <w:tc>
          <w:tcPr>
            <w:tcW w:type="dxa" w:w="476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Porównanie sparowane/warstwowe; exact/CER + time_to_confirmed.</w:t>
            </w:r>
          </w:p>
        </w:tc>
      </w:tr>
      <w:tr>
        <w:trPr>
          <w:cantSplit w:val="true"/>
        </w:trPr>
        <w:tc>
          <w:tcPr>
            <w:tcW w:type="dxa" w:w="68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W10</w:t>
            </w:r>
          </w:p>
        </w:tc>
        <w:tc>
          <w:tcPr>
            <w:tcW w:type="dxa" w:w="396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Autozoom lock states / failures</w:t>
            </w:r>
          </w:p>
        </w:tc>
        <w:tc>
          <w:tcPr>
            <w:tcW w:type="dxa" w:w="476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EVENT: acquired/uncertain/lost, misses i wrong-target jeśli da się oznaczyć z GT/scenario.</w:t>
            </w:r>
          </w:p>
        </w:tc>
      </w:tr>
      <w:tr>
        <w:trPr>
          <w:cantSplit w:val="true"/>
        </w:trPr>
        <w:tc>
          <w:tcPr>
            <w:tcW w:type="dxa" w:w="68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W11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Lejek awarii ALPR</w:t>
            </w:r>
          </w:p>
        </w:tc>
        <w:tc>
          <w:tcPr>
            <w:tcW w:type="dxa" w:w="476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GT → MT detected → valid geometry → MZ result → consensus → exact match.</w:t>
            </w:r>
          </w:p>
        </w:tc>
      </w:tr>
      <w:tr>
        <w:trPr>
          <w:cantSplit w:val="true"/>
        </w:trPr>
        <w:tc>
          <w:tcPr>
            <w:tcW w:type="dxa" w:w="68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W12</w:t>
            </w:r>
          </w:p>
        </w:tc>
        <w:tc>
          <w:tcPr>
            <w:tcW w:type="dxa" w:w="3969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Runtime/model Pareto: jakość vs p95 latency</w:t>
            </w:r>
          </w:p>
        </w:tc>
        <w:tc>
          <w:tcPr>
            <w:tcW w:type="dxa" w:w="476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5"/>
              </w:rPr>
              <w:t>SESSION; kolor/facet runtime, rozmiar package/RAM jako dodatkowe informacje.</w:t>
            </w:r>
          </w:p>
        </w:tc>
      </w:tr>
    </w:tbl>
    <w:p>
      <w:pPr>
        <w:spacing w:after="0"/>
      </w:pPr>
    </w:p>
    <w:p>
      <w:pPr>
        <w:pStyle w:val="Heading1"/>
      </w:pPr>
      <w:r>
        <w:t>10. UI przeglądarki – proponowana organizacja</w:t>
      </w:r>
    </w:p>
    <w:p>
      <w:pPr>
        <w:pStyle w:val="ListBullet"/>
        <w:spacing w:after="30"/>
      </w:pPr>
      <w:r>
        <w:rPr>
          <w:rFonts w:ascii="Noto Sans" w:hAnsi="Noto Sans" w:eastAsia="Noto Sans"/>
          <w:b/>
          <w:color w:val="1F2937"/>
          <w:sz w:val="18"/>
        </w:rPr>
        <w:t xml:space="preserve">Widok „Raport”. </w:t>
      </w:r>
      <w:r>
        <w:rPr>
          <w:rFonts w:ascii="Noto Sans" w:hAnsi="Noto Sans" w:eastAsia="Noto Sans"/>
          <w:color w:val="1F2937"/>
          <w:sz w:val="18"/>
        </w:rPr>
        <w:t>Zachować obecne summary, konfigurację, model/runtime, raw JSON, integralność i pojedynczy trace.</w:t>
      </w:r>
    </w:p>
    <w:p>
      <w:pPr>
        <w:pStyle w:val="ListBullet"/>
        <w:spacing w:after="30"/>
      </w:pPr>
      <w:r>
        <w:rPr>
          <w:rFonts w:ascii="Noto Sans" w:hAnsi="Noto Sans" w:eastAsia="Noto Sans"/>
          <w:b/>
          <w:color w:val="1F2937"/>
          <w:sz w:val="18"/>
        </w:rPr>
        <w:t xml:space="preserve">Widok „Seria eksperymentalna”. </w:t>
      </w:r>
      <w:r>
        <w:rPr>
          <w:rFonts w:ascii="Noto Sans" w:hAnsi="Noto Sans" w:eastAsia="Noto Sans"/>
          <w:color w:val="1F2937"/>
          <w:sz w:val="18"/>
        </w:rPr>
        <w:t>Nowy: filtr series/scenario/variant/replicate, guard porównywalności, tabela powtórzeń i wykresy porównawcze.</w:t>
      </w:r>
    </w:p>
    <w:p>
      <w:pPr>
        <w:pStyle w:val="ListBullet"/>
        <w:spacing w:after="30"/>
      </w:pPr>
      <w:r>
        <w:rPr>
          <w:rFonts w:ascii="Noto Sans" w:hAnsi="Noto Sans" w:eastAsia="Noto Sans"/>
          <w:b/>
          <w:color w:val="1F2937"/>
          <w:sz w:val="18"/>
        </w:rPr>
        <w:t xml:space="preserve">Widok „Czas i termika”. </w:t>
      </w:r>
      <w:r>
        <w:rPr>
          <w:rFonts w:ascii="Noto Sans" w:hAnsi="Noto Sans" w:eastAsia="Noto Sans"/>
          <w:color w:val="1F2937"/>
          <w:sz w:val="18"/>
        </w:rPr>
        <w:t>W1/W2 + status termiczny, start/end temperature, throttling transitions.</w:t>
      </w:r>
    </w:p>
    <w:p>
      <w:pPr>
        <w:pStyle w:val="ListBullet"/>
        <w:spacing w:after="30"/>
      </w:pPr>
      <w:r>
        <w:rPr>
          <w:rFonts w:ascii="Noto Sans" w:hAnsi="Noto Sans" w:eastAsia="Noto Sans"/>
          <w:b/>
          <w:color w:val="1F2937"/>
          <w:sz w:val="18"/>
        </w:rPr>
        <w:t xml:space="preserve">Widok „Jakość i geometria”. </w:t>
      </w:r>
      <w:r>
        <w:rPr>
          <w:rFonts w:ascii="Noto Sans" w:hAnsi="Noto Sans" w:eastAsia="Noto Sans"/>
          <w:color w:val="1F2937"/>
          <w:sz w:val="18"/>
        </w:rPr>
        <w:t>W4/W5/W11, filtrowanie po GT, rozmiarze, sharpness, layout.</w:t>
      </w:r>
    </w:p>
    <w:p>
      <w:pPr>
        <w:pStyle w:val="ListBullet"/>
        <w:spacing w:after="30"/>
      </w:pPr>
      <w:r>
        <w:rPr>
          <w:rFonts w:ascii="Noto Sans" w:hAnsi="Noto Sans" w:eastAsia="Noto Sans"/>
          <w:b/>
          <w:color w:val="1F2937"/>
          <w:sz w:val="18"/>
        </w:rPr>
        <w:t xml:space="preserve">Widok „Konsensus / Autozoom”. </w:t>
      </w:r>
      <w:r>
        <w:rPr>
          <w:rFonts w:ascii="Noto Sans" w:hAnsi="Noto Sans" w:eastAsia="Noto Sans"/>
          <w:color w:val="1F2937"/>
          <w:sz w:val="18"/>
        </w:rPr>
        <w:t>W7–W10 + event timeline dla wybranego tracku.</w:t>
      </w:r>
    </w:p>
    <w:p>
      <w:pPr>
        <w:pStyle w:val="ListBullet"/>
        <w:spacing w:after="30"/>
      </w:pPr>
      <w:r>
        <w:rPr>
          <w:rFonts w:ascii="Noto Sans" w:hAnsi="Noto Sans" w:eastAsia="Noto Sans"/>
          <w:b/>
          <w:color w:val="1F2937"/>
          <w:sz w:val="18"/>
        </w:rPr>
        <w:t xml:space="preserve">Widok „Eksport do pracy”. </w:t>
      </w:r>
      <w:r>
        <w:rPr>
          <w:rFonts w:ascii="Noto Sans" w:hAnsi="Noto Sans" w:eastAsia="Noto Sans"/>
          <w:color w:val="1F2937"/>
          <w:sz w:val="18"/>
        </w:rPr>
        <w:t>Wybór wykresów/tabel → zapis obrazu + CSV + LaTeX + analysis_manifest.json.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C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" w:hAnsi="Noto Sans" w:eastAsia="Noto Sans"/>
                <w:b/>
                <w:color w:val="1F4E78"/>
                <w:sz w:val="18"/>
              </w:rPr>
              <w:t xml:space="preserve">Wykresy: </w:t>
            </w:r>
            <w:r>
              <w:rPr>
                <w:rFonts w:ascii="Noto Sans" w:hAnsi="Noto Sans" w:eastAsia="Noto Sans"/>
                <w:color w:val="1F2937"/>
                <w:sz w:val="18"/>
              </w:rPr>
              <w:t>Obecny ręcznie rysowany Canvas jest wystarczający do prostego trendu latency, ale nie powinien stać się oddzielną implementacją dla każdego scattera, histogramu i wykresu wieloserii. Wydzielić warstwę plot-spec/data i użyć jednego spójnego backendu wykresów dostępnego w projekcie; jeżeli trzeba dodać matplotlib, zrobić to jako świadomą zależność badawczą.</w:t>
            </w:r>
          </w:p>
        </w:tc>
      </w:tr>
    </w:tbl>
    <w:p>
      <w:pPr>
        <w:spacing w:after="0"/>
      </w:pPr>
    </w:p>
    <w:p>
      <w:pPr>
        <w:pStyle w:val="Heading1"/>
      </w:pPr>
      <w:r>
        <w:t>11. P0 – analiza wielu powtórzeń</w:t>
      </w: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Jednostką porównania jest REPORT/SESSION, nie pojedyncza klatka. Nie wolno traktować 2000 klatek z jednej sesji jak 2000 niezależnych powtórzeń eksperymentu.</w:t>
      </w: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Dla R0–R4 wyświetlać wynik każdej replikacji, medianę/średnią między replikacjami oraz N sesji.</w:t>
      </w: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Dla danych trackowych pokazywać N unikalnych tracków/tablic i coverage GT.</w:t>
      </w: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Jeżeli sceny są sparowane między wariantami, zachować pair/scenario instance ID; jeśli nie – oznaczać analizę jako niesparowaną.</w:t>
      </w: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Wysokie percentyle p90/p95/p99 liczyć w obrębie każdej sesji; agregację między sesjami dokumentować osobno.</w:t>
      </w:r>
    </w:p>
    <w:p>
      <w:pPr>
        <w:pStyle w:val="Heading1"/>
      </w:pPr>
      <w:r>
        <w:t>12. P1 – eksport wyników do pracy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true"/>
        </w:trPr>
        <w:tc>
          <w:tcPr>
            <w:tcW w:type="dxa" w:w="255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Artefakt</w:t>
            </w:r>
          </w:p>
        </w:tc>
        <w:tc>
          <w:tcPr>
            <w:tcW w:type="dxa" w:w="68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Wymaganie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figure.png</w:t>
            </w:r>
          </w:p>
        </w:tc>
        <w:tc>
          <w:tcPr>
            <w:tcW w:type="dxa" w:w="68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Raster do szybkiego wklejenia; min. 1800–2400 px szerokości lub 300 dpi przy docelowym rozmiarze.</w:t>
            </w:r>
          </w:p>
        </w:tc>
      </w:tr>
      <w:tr>
        <w:trPr>
          <w:cantSplit w:val="true"/>
        </w:trPr>
        <w:tc>
          <w:tcPr>
            <w:tcW w:type="dxa" w:w="255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figure.svg lub PDF</w:t>
            </w:r>
          </w:p>
        </w:tc>
        <w:tc>
          <w:tcPr>
            <w:tcW w:type="dxa" w:w="686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Preferowany format wektorowy do finalnej pracy, jeśli backend pozwala.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figure_data.csv</w:t>
            </w:r>
          </w:p>
        </w:tc>
        <w:tc>
          <w:tcPr>
            <w:tcW w:type="dxa" w:w="68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Dokładne dane użyte do wykresu po filtrach.</w:t>
            </w:r>
          </w:p>
        </w:tc>
      </w:tr>
      <w:tr>
        <w:trPr>
          <w:cantSplit w:val="true"/>
        </w:trPr>
        <w:tc>
          <w:tcPr>
            <w:tcW w:type="dxa" w:w="255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table.tex</w:t>
            </w:r>
          </w:p>
        </w:tc>
        <w:tc>
          <w:tcPr>
            <w:tcW w:type="dxa" w:w="686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Tabela LaTeX zgodna z polskim separatorem/opisem jednostek; bez ręcznego kopiowania.</w:t>
            </w:r>
          </w:p>
        </w:tc>
      </w:tr>
      <w:tr>
        <w:trPr>
          <w:cantSplit w:val="true"/>
        </w:trPr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analysis_manifest.json</w:t>
            </w:r>
          </w:p>
        </w:tc>
        <w:tc>
          <w:tcPr>
            <w:tcW w:type="dxa" w:w="686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Source report IDs/SHA, filters, grouping, metric definitions/version, generated_at, desktop app git SHA.</w:t>
            </w:r>
          </w:p>
        </w:tc>
      </w:tr>
      <w:tr>
        <w:trPr>
          <w:cantSplit w:val="true"/>
        </w:trPr>
        <w:tc>
          <w:tcPr>
            <w:tcW w:type="dxa" w:w="2551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analysis_notes.md/txt</w:t>
            </w:r>
          </w:p>
        </w:tc>
        <w:tc>
          <w:tcPr>
            <w:tcW w:type="dxa" w:w="686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Opcjonalne automatyczne streszczenie warunków; nie zastępuje manifestu.</w:t>
            </w:r>
          </w:p>
        </w:tc>
      </w:tr>
    </w:tbl>
    <w:p>
      <w:pPr>
        <w:spacing w:after="0"/>
      </w:pP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Każdy wykres powinien być odtwarzalny z analysis_manifest + source report hashes.</w:t>
      </w: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Tytuł/legenda wykresu nie może sugerować przyczynowości, jeśli eksperyment nie kontrolował innych zmiennych.</w:t>
      </w: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Eksport ma zachować jawne N, jednostki i informację o filtrach (np. tylko GT, tylko plate_height &lt; 35 px).</w:t>
      </w:r>
    </w:p>
    <w:p>
      <w:pPr>
        <w:pStyle w:val="Heading1"/>
      </w:pPr>
      <w:r>
        <w:t>13. Testy i kompatybilność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true"/>
        </w:trPr>
        <w:tc>
          <w:tcPr>
            <w:tcW w:type="dxa" w:w="294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Fixture / test</w:t>
            </w:r>
          </w:p>
        </w:tc>
        <w:tc>
          <w:tcPr>
            <w:tcW w:type="dxa" w:w="6463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</w:rPr>
              <w:t>Kryterium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Stary report.json</w:t>
            </w:r>
          </w:p>
        </w:tc>
        <w:tc>
          <w:tcPr>
            <w:tcW w:type="dxa" w:w="646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Otwiera się; nowe pola są unavailable bez exception.</w:t>
            </w:r>
          </w:p>
        </w:tc>
      </w:tr>
      <w:tr>
        <w:trPr>
          <w:cantSplit w:val="true"/>
        </w:trPr>
        <w:tc>
          <w:tcPr>
            <w:tcW w:type="dxa" w:w="294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Stary legacy ZIP</w:t>
            </w:r>
          </w:p>
        </w:tc>
        <w:tc>
          <w:tcPr>
            <w:tcW w:type="dxa" w:w="646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Integralność i dotychczasowe wykresy działają.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Nowy .alprsession pełny</w:t>
            </w:r>
          </w:p>
        </w:tc>
        <w:tc>
          <w:tcPr>
            <w:tcW w:type="dxa" w:w="646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Czyta report + traces + thermal + flow + events + samples; wszystkie klucze łączą się.</w:t>
            </w:r>
          </w:p>
        </w:tc>
      </w:tr>
      <w:tr>
        <w:trPr>
          <w:cantSplit w:val="true"/>
        </w:trPr>
        <w:tc>
          <w:tcPr>
            <w:tcW w:type="dxa" w:w="294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Nowy raport bez headroom</w:t>
            </w:r>
          </w:p>
        </w:tc>
        <w:tc>
          <w:tcPr>
            <w:tcW w:type="dxa" w:w="646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Termika działa z temp/status; brak headroom nie staje się 0.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Sesja &gt;5000 frame rows</w:t>
            </w:r>
          </w:p>
        </w:tc>
        <w:tc>
          <w:tcPr>
            <w:tcW w:type="dxa" w:w="646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UI preview ograniczony, ale metryki i wykres pełnej sesji korzystają z całości.</w:t>
            </w:r>
          </w:p>
        </w:tc>
      </w:tr>
      <w:tr>
        <w:trPr>
          <w:cantSplit w:val="true"/>
        </w:trPr>
        <w:tc>
          <w:tcPr>
            <w:tcW w:type="dxa" w:w="294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Android trace eviction</w:t>
            </w:r>
          </w:p>
        </w:tc>
        <w:tc>
          <w:tcPr>
            <w:tcW w:type="dxa" w:w="646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Importer wykrywa retained/evicted i blokuje/ostrzega przy analizie trendu.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Mixed app SHA</w:t>
            </w:r>
          </w:p>
        </w:tc>
        <w:tc>
          <w:tcPr>
            <w:tcW w:type="dxa" w:w="646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Comparison guard ostrzega/blokuje domyślnie.</w:t>
            </w:r>
          </w:p>
        </w:tc>
      </w:tr>
      <w:tr>
        <w:trPr>
          <w:cantSplit w:val="true"/>
        </w:trPr>
        <w:tc>
          <w:tcPr>
            <w:tcW w:type="dxa" w:w="294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Mixed model fingerprints</w:t>
            </w:r>
          </w:p>
        </w:tc>
        <w:tc>
          <w:tcPr>
            <w:tcW w:type="dxa" w:w="646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Guard zależny od typu eksperymentu.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Missing GT</w:t>
            </w:r>
          </w:p>
        </w:tc>
        <w:tc>
          <w:tcPr>
            <w:tcW w:type="dxa" w:w="646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Quality chart/score nie fałszuje 0%; pokazuje brak danych i N=0.</w:t>
            </w:r>
          </w:p>
        </w:tc>
      </w:tr>
      <w:tr>
        <w:trPr>
          <w:cantSplit w:val="true"/>
        </w:trPr>
        <w:tc>
          <w:tcPr>
            <w:tcW w:type="dxa" w:w="294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Consensus event replay</w:t>
            </w:r>
          </w:p>
        </w:tc>
        <w:tc>
          <w:tcPr>
            <w:tcW w:type="dxa" w:w="6463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Z eventów da się odtworzyć pierwszy odczyt, wszystkie próby i moment confirmation dla testowego tracku.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Round-trip analysis</w:t>
            </w:r>
          </w:p>
        </w:tc>
        <w:tc>
          <w:tcPr>
            <w:tcW w:type="dxa" w:w="646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/>
                <w:color w:val="1F2937"/>
                <w:sz w:val="16"/>
              </w:rPr>
              <w:t>Wykres → figure_data.csv + manifest → ponowne wygenerowanie daje te same wartości.</w:t>
            </w:r>
          </w:p>
        </w:tc>
      </w:tr>
    </w:tbl>
    <w:p>
      <w:pPr>
        <w:spacing w:after="0"/>
      </w:pPr>
    </w:p>
    <w:p>
      <w:pPr>
        <w:pStyle w:val="Heading1"/>
      </w:pPr>
      <w:r>
        <w:t>14. Kolejność implementacji Desktop</w:t>
      </w:r>
    </w:p>
    <w:p>
      <w:pPr>
        <w:pStyle w:val="ListNumber"/>
        <w:spacing w:after="40"/>
      </w:pPr>
      <w:r>
        <w:rPr>
          <w:rFonts w:ascii="Noto Sans" w:hAnsi="Noto Sans" w:eastAsia="Noto Sans"/>
          <w:b/>
          <w:color w:val="1F2937"/>
          <w:sz w:val="18"/>
        </w:rPr>
        <w:t xml:space="preserve">P0. Ustalić właściwą gałąź/bazę i zachować obecny importer. </w:t>
      </w:r>
      <w:r>
        <w:rPr>
          <w:rFonts w:ascii="Noto Sans" w:hAnsi="Noto Sans" w:eastAsia="Noto Sans"/>
          <w:color w:val="1F2937"/>
          <w:sz w:val="18"/>
        </w:rPr>
        <w:t>Nie implementować na starym main bez przeniesienia mobilnych modułów.</w:t>
      </w:r>
    </w:p>
    <w:p>
      <w:pPr>
        <w:pStyle w:val="ListNumber"/>
        <w:spacing w:after="40"/>
      </w:pPr>
      <w:r>
        <w:rPr>
          <w:rFonts w:ascii="Noto Sans" w:hAnsi="Noto Sans" w:eastAsia="Noto Sans"/>
          <w:b/>
          <w:color w:val="1F2937"/>
          <w:sz w:val="18"/>
        </w:rPr>
        <w:t xml:space="preserve">P0. Wydzielić parser + normalized model. </w:t>
      </w:r>
      <w:r>
        <w:rPr>
          <w:rFonts w:ascii="Noto Sans" w:hAnsi="Noto Sans" w:eastAsia="Noto Sans"/>
          <w:color w:val="1F2937"/>
          <w:sz w:val="18"/>
        </w:rPr>
        <w:t>UI ma konsumować gotowe rekordy.</w:t>
      </w:r>
    </w:p>
    <w:p>
      <w:pPr>
        <w:pStyle w:val="ListNumber"/>
        <w:spacing w:after="40"/>
      </w:pPr>
      <w:r>
        <w:rPr>
          <w:rFonts w:ascii="Noto Sans" w:hAnsi="Noto Sans" w:eastAsia="Noto Sans"/>
          <w:b/>
          <w:color w:val="1F2937"/>
          <w:sz w:val="18"/>
        </w:rPr>
        <w:t xml:space="preserve">P0. Pełne dane &gt; preview. </w:t>
      </w:r>
      <w:r>
        <w:rPr>
          <w:rFonts w:ascii="Noto Sans" w:hAnsi="Noto Sans" w:eastAsia="Noto Sans"/>
          <w:color w:val="1F2937"/>
          <w:sz w:val="18"/>
        </w:rPr>
        <w:t>Oddzielić limit 5000 podglądu od źródła analizy.</w:t>
      </w:r>
    </w:p>
    <w:p>
      <w:pPr>
        <w:pStyle w:val="ListNumber"/>
        <w:spacing w:after="40"/>
      </w:pPr>
      <w:r>
        <w:rPr>
          <w:rFonts w:ascii="Noto Sans" w:hAnsi="Noto Sans" w:eastAsia="Noto Sans"/>
          <w:b/>
          <w:color w:val="1F2937"/>
          <w:sz w:val="18"/>
        </w:rPr>
        <w:t xml:space="preserve">P0. Obsłużyć identity/series/scenario/replicate i comparison guard. </w:t>
      </w:r>
      <w:r>
        <w:rPr>
          <w:rFonts w:ascii="Noto Sans" w:hAnsi="Noto Sans" w:eastAsia="Noto Sans"/>
          <w:color w:val="1F2937"/>
          <w:sz w:val="18"/>
        </w:rPr>
        <w:t>Bez tego nie zaczynać dużej kampanii.</w:t>
      </w:r>
    </w:p>
    <w:p>
      <w:pPr>
        <w:pStyle w:val="ListNumber"/>
        <w:spacing w:after="40"/>
      </w:pPr>
      <w:r>
        <w:rPr>
          <w:rFonts w:ascii="Noto Sans" w:hAnsi="Noto Sans" w:eastAsia="Noto Sans"/>
          <w:b/>
          <w:color w:val="1F2937"/>
          <w:sz w:val="18"/>
        </w:rPr>
        <w:t xml:space="preserve">P0. Obsłużyć thermal/frame_flow/events/extended samples. </w:t>
      </w:r>
      <w:r>
        <w:rPr>
          <w:rFonts w:ascii="Noto Sans" w:hAnsi="Noto Sans" w:eastAsia="Noto Sans"/>
          <w:color w:val="1F2937"/>
          <w:sz w:val="18"/>
        </w:rPr>
        <w:t>Z fallbackiem dla starych raportów.</w:t>
      </w:r>
    </w:p>
    <w:p>
      <w:pPr>
        <w:pStyle w:val="ListNumber"/>
        <w:spacing w:after="40"/>
      </w:pPr>
      <w:r>
        <w:rPr>
          <w:rFonts w:ascii="Noto Sans" w:hAnsi="Noto Sans" w:eastAsia="Noto Sans"/>
          <w:b/>
          <w:color w:val="1F2937"/>
          <w:sz w:val="18"/>
        </w:rPr>
        <w:t xml:space="preserve">P0. Dodać derived metrics. </w:t>
      </w:r>
      <w:r>
        <w:rPr>
          <w:rFonts w:ascii="Noto Sans" w:hAnsi="Noto Sans" w:eastAsia="Noto Sans"/>
          <w:color w:val="1F2937"/>
          <w:sz w:val="18"/>
        </w:rPr>
        <w:t>Formuły wersjonowane i testowane.</w:t>
      </w:r>
    </w:p>
    <w:p>
      <w:pPr>
        <w:pStyle w:val="ListNumber"/>
        <w:spacing w:after="40"/>
      </w:pPr>
      <w:r>
        <w:rPr>
          <w:rFonts w:ascii="Noto Sans" w:hAnsi="Noto Sans" w:eastAsia="Noto Sans"/>
          <w:b/>
          <w:color w:val="1F2937"/>
          <w:sz w:val="18"/>
        </w:rPr>
        <w:t xml:space="preserve">P1. Widoki/wykresy serii. </w:t>
      </w:r>
      <w:r>
        <w:rPr>
          <w:rFonts w:ascii="Noto Sans" w:hAnsi="Noto Sans" w:eastAsia="Noto Sans"/>
          <w:color w:val="1F2937"/>
          <w:sz w:val="18"/>
        </w:rPr>
        <w:t>Najpierw W1–W8; pozostałe po pierwszych danych.</w:t>
      </w:r>
    </w:p>
    <w:p>
      <w:pPr>
        <w:pStyle w:val="ListNumber"/>
        <w:spacing w:after="40"/>
      </w:pPr>
      <w:r>
        <w:rPr>
          <w:rFonts w:ascii="Noto Sans" w:hAnsi="Noto Sans" w:eastAsia="Noto Sans"/>
          <w:b/>
          <w:color w:val="1F2937"/>
          <w:sz w:val="18"/>
        </w:rPr>
        <w:t xml:space="preserve">P1. Eksport do pracy + analysis_manifest. </w:t>
      </w:r>
      <w:r>
        <w:rPr>
          <w:rFonts w:ascii="Noto Sans" w:hAnsi="Noto Sans" w:eastAsia="Noto Sans"/>
          <w:color w:val="1F2937"/>
          <w:sz w:val="18"/>
        </w:rPr>
        <w:t>Automatyzacja danych/tabel/figures.</w:t>
      </w:r>
    </w:p>
    <w:p>
      <w:pPr>
        <w:pStyle w:val="Heading1"/>
      </w:pPr>
      <w:r>
        <w:t>15. Handoff do agenta Android</w:t>
      </w: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Agent Desktop ma zwrócić agentowi Android listę rzeczywiście używanych pól oraz fixture parsera dla nowego kontraktu.</w:t>
      </w: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Jeśli Desktop potrzebuje pola, którego Android nie może tanio zmierzyć, uzgodnić alternatywę (surowe dane do wyliczenia po stronie Desktopu zamiast gotowej metryki).</w:t>
      </w: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Zmiana formatu artefaktu wymaga równoległego fixture i testu kompatybilności; nie uzgadniać schematu wyłącznie ustnie.</w:t>
      </w:r>
    </w:p>
    <w:p>
      <w:pPr>
        <w:pStyle w:val="ListBullet"/>
        <w:spacing w:after="30"/>
      </w:pPr>
      <w:r>
        <w:rPr>
          <w:rFonts w:ascii="Noto Sans" w:hAnsi="Noto Sans" w:eastAsia="Noto Sans"/>
          <w:color w:val="1F2937"/>
          <w:sz w:val="18"/>
        </w:rPr>
        <w:t>Po pierwszym pełnym end-to-end teście zamrozić wersję kontraktu dla właściwej kampanii eksperymentalnej.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 w:eastAsia="Noto Sans"/>
        <w:color w:val="6B7280"/>
        <w:sz w:val="16"/>
      </w:rPr>
      <w:t xml:space="preserve">Strona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" w:hAnsi="Noto Sans" w:eastAsia="Noto Sans"/>
        <w:color w:val="6B7280"/>
        <w:sz w:val="16"/>
      </w:rPr>
      <w:t>Importer, model danych, analiza i wizualizacja kampanii eksperymentalnej mobilnego ALPR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" w:hAnsi="Noto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" w:hAnsi="Noto San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" w:hAnsi="Noto Sans"/>
      <w:b/>
      <w:bCs/>
      <w:color w:val="1F293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Liberation Mono" w:hAnsi="Liberation Mono"/>
      <w:color w:val="1F29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