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1C0" w:rsidRDefault="00CD41C0" w:rsidP="00CD41C0">
      <w:pPr>
        <w:rPr>
          <w:b/>
        </w:rPr>
      </w:pPr>
      <w:r>
        <w:rPr>
          <w:b/>
        </w:rPr>
        <w:t>Rafał Szyszka</w:t>
      </w:r>
      <w:r>
        <w:br/>
      </w:r>
      <w:r>
        <w:br/>
      </w:r>
      <w:r w:rsidRPr="00F619B9">
        <w:rPr>
          <w:b/>
        </w:rPr>
        <w:t>Sprawozdanie</w:t>
      </w:r>
      <w:r>
        <w:rPr>
          <w:b/>
        </w:rPr>
        <w:t xml:space="preserve"> 5 –Budowa i działanie sieci </w:t>
      </w:r>
      <w:proofErr w:type="spellStart"/>
      <w:r>
        <w:rPr>
          <w:b/>
        </w:rPr>
        <w:t>Kohonena</w:t>
      </w:r>
      <w:proofErr w:type="spellEnd"/>
      <w:r>
        <w:rPr>
          <w:b/>
        </w:rPr>
        <w:t xml:space="preserve"> dla WTA</w:t>
      </w:r>
    </w:p>
    <w:p w:rsidR="00CD41C0" w:rsidRDefault="00CD41C0" w:rsidP="00CD41C0">
      <w:pPr>
        <w:rPr>
          <w:b/>
        </w:rPr>
      </w:pPr>
    </w:p>
    <w:p w:rsidR="00CD41C0" w:rsidRPr="00F619B9" w:rsidRDefault="00CD41C0" w:rsidP="00CD41C0">
      <w:pPr>
        <w:rPr>
          <w:b/>
        </w:rPr>
      </w:pPr>
      <w:r w:rsidRPr="00F619B9">
        <w:rPr>
          <w:b/>
        </w:rPr>
        <w:t>1.</w:t>
      </w:r>
      <w:r>
        <w:rPr>
          <w:b/>
        </w:rPr>
        <w:t>Cel ćwiczenia:</w:t>
      </w:r>
    </w:p>
    <w:p w:rsidR="00CD41C0" w:rsidRDefault="00CD41C0" w:rsidP="00CD41C0"/>
    <w:p w:rsidR="00CD41C0" w:rsidRDefault="00CD41C0" w:rsidP="00CD41C0">
      <w:r>
        <w:t xml:space="preserve">Celem ćwiczenia jest poznanie budowy i działania sieci </w:t>
      </w:r>
      <w:proofErr w:type="spellStart"/>
      <w:r>
        <w:t>Kohonena</w:t>
      </w:r>
      <w:proofErr w:type="spellEnd"/>
      <w:r>
        <w:t xml:space="preserve"> przy wykorzystaniu reguły WTA do odwzorowania istotnych cech kwiatów.</w:t>
      </w:r>
    </w:p>
    <w:p w:rsidR="00CD41C0" w:rsidRDefault="00CD41C0" w:rsidP="00CD41C0">
      <w:pPr>
        <w:jc w:val="both"/>
      </w:pPr>
    </w:p>
    <w:p w:rsidR="00CD41C0" w:rsidRDefault="00CD41C0" w:rsidP="00CD41C0">
      <w:pPr>
        <w:jc w:val="both"/>
        <w:rPr>
          <w:b/>
        </w:rPr>
      </w:pPr>
      <w:r>
        <w:rPr>
          <w:b/>
        </w:rPr>
        <w:t>2. Przebieg wykonania ćwiczenia:</w:t>
      </w:r>
    </w:p>
    <w:p w:rsidR="00CD41C0" w:rsidRDefault="00CD41C0" w:rsidP="00CD41C0">
      <w:pPr>
        <w:jc w:val="both"/>
        <w:rPr>
          <w:b/>
        </w:rPr>
      </w:pPr>
    </w:p>
    <w:p w:rsidR="00CD41C0" w:rsidRDefault="00CD41C0" w:rsidP="00CD41C0">
      <w:pPr>
        <w:pStyle w:val="Akapitzlist"/>
        <w:numPr>
          <w:ilvl w:val="0"/>
          <w:numId w:val="1"/>
        </w:numPr>
        <w:jc w:val="both"/>
      </w:pPr>
      <w:r>
        <w:t>Przygotowanie danych uczących i testujących zawierających numeryczny opis cech kwiatów. Zestaw został przygotowany na podstawie Wikipedii.</w:t>
      </w:r>
    </w:p>
    <w:p w:rsidR="00CD41C0" w:rsidRDefault="00CD41C0" w:rsidP="00CD41C0">
      <w:pPr>
        <w:pStyle w:val="Akapitzlist"/>
        <w:numPr>
          <w:ilvl w:val="0"/>
          <w:numId w:val="1"/>
        </w:numPr>
        <w:jc w:val="both"/>
      </w:pPr>
      <w:r>
        <w:t xml:space="preserve">Implementacja sieci </w:t>
      </w:r>
      <w:proofErr w:type="spellStart"/>
      <w:r>
        <w:t>Kohonena</w:t>
      </w:r>
      <w:proofErr w:type="spellEnd"/>
      <w:r>
        <w:t xml:space="preserve"> i algorytmu uczenia o regułę Winner </w:t>
      </w:r>
      <w:proofErr w:type="spellStart"/>
      <w:r>
        <w:t>TakesAll</w:t>
      </w:r>
      <w:proofErr w:type="spellEnd"/>
    </w:p>
    <w:p w:rsidR="00CD41C0" w:rsidRDefault="00CD41C0" w:rsidP="00CD41C0">
      <w:pPr>
        <w:pStyle w:val="Akapitzlist"/>
        <w:numPr>
          <w:ilvl w:val="0"/>
          <w:numId w:val="1"/>
        </w:numPr>
        <w:jc w:val="both"/>
      </w:pPr>
      <w:r>
        <w:t>Uczenie sieci dla różnych współczynników uczenia</w:t>
      </w:r>
    </w:p>
    <w:p w:rsidR="00CD41C0" w:rsidRPr="00F619B9" w:rsidRDefault="00CD41C0" w:rsidP="00CD41C0">
      <w:pPr>
        <w:pStyle w:val="Akapitzlist"/>
        <w:numPr>
          <w:ilvl w:val="0"/>
          <w:numId w:val="1"/>
        </w:numPr>
        <w:jc w:val="both"/>
      </w:pPr>
      <w:r>
        <w:t>Testowanie sieci</w:t>
      </w:r>
    </w:p>
    <w:p w:rsidR="00CD41C0" w:rsidRDefault="00CD41C0" w:rsidP="00CD41C0">
      <w:pPr>
        <w:jc w:val="both"/>
      </w:pPr>
    </w:p>
    <w:p w:rsidR="00CD41C0" w:rsidRDefault="00CD41C0" w:rsidP="00CD41C0">
      <w:pPr>
        <w:jc w:val="both"/>
      </w:pPr>
    </w:p>
    <w:p w:rsidR="00CD41C0" w:rsidRDefault="00CD41C0" w:rsidP="00CD41C0">
      <w:pPr>
        <w:jc w:val="both"/>
      </w:pPr>
      <w:r>
        <w:rPr>
          <w:b/>
          <w:bCs/>
        </w:rPr>
        <w:t>3.  Syntetyczny opis budowy użytej sieci i algorytmów uczenia:</w:t>
      </w:r>
    </w:p>
    <w:p w:rsidR="00CD41C0" w:rsidRDefault="00CD41C0" w:rsidP="00CD41C0">
      <w:pPr>
        <w:jc w:val="both"/>
      </w:pPr>
    </w:p>
    <w:p w:rsidR="00CD41C0" w:rsidRPr="00A85100" w:rsidRDefault="00CD41C0" w:rsidP="00CD41C0">
      <w:pPr>
        <w:jc w:val="both"/>
      </w:pPr>
      <w:r>
        <w:t xml:space="preserve">Sieć </w:t>
      </w:r>
      <w:proofErr w:type="spellStart"/>
      <w:r>
        <w:t>Kohonena</w:t>
      </w:r>
      <w:proofErr w:type="spellEnd"/>
      <w:r>
        <w:t xml:space="preserve"> jest to sieć która klasyfikuje wejściowe wektory w jedną z określonej liczby </w:t>
      </w:r>
      <w:r>
        <w:rPr>
          <w:i/>
        </w:rPr>
        <w:t>m</w:t>
      </w:r>
      <w:r>
        <w:t xml:space="preserve"> kategorii, zgodnie z klastrami wykrytymi w zbiorze treningowym {x</w:t>
      </w:r>
      <w:r>
        <w:softHyphen/>
      </w:r>
      <w:r>
        <w:softHyphen/>
      </w:r>
      <w:r>
        <w:softHyphen/>
      </w:r>
      <w:r>
        <w:rPr>
          <w:vertAlign w:val="superscript"/>
        </w:rPr>
        <w:t>1</w:t>
      </w:r>
      <w:r>
        <w:t xml:space="preserve">,…, </w:t>
      </w:r>
      <w:proofErr w:type="spellStart"/>
      <w:r>
        <w:t>x</w:t>
      </w:r>
      <w:r>
        <w:rPr>
          <w:vertAlign w:val="superscript"/>
        </w:rPr>
        <w:t>K</w:t>
      </w:r>
      <w:proofErr w:type="spellEnd"/>
      <w:r>
        <w:t>}</w:t>
      </w:r>
    </w:p>
    <w:p w:rsidR="00CD41C0" w:rsidRDefault="00CD41C0" w:rsidP="00CD41C0">
      <w:pPr>
        <w:jc w:val="both"/>
      </w:pPr>
    </w:p>
    <w:p w:rsidR="00CD41C0" w:rsidRDefault="00CD41C0" w:rsidP="00CD41C0">
      <w:pPr>
        <w:jc w:val="both"/>
      </w:pPr>
      <w:r>
        <w:t xml:space="preserve">Algorytm uczący traktuje set z </w:t>
      </w:r>
      <w:r>
        <w:rPr>
          <w:i/>
        </w:rPr>
        <w:t xml:space="preserve">m </w:t>
      </w:r>
      <w:r>
        <w:t>wektorów wag jako zmienne wektory który muszą być nauczone. Wszystko losowo wybrane wektory wag muszą zostać znormalizowane. Normalizacja odbywa się za pomocą wzoru:</w:t>
      </w:r>
    </w:p>
    <w:p w:rsidR="00CD41C0" w:rsidRDefault="00CD41C0" w:rsidP="00CD41C0">
      <w:pPr>
        <w:jc w:val="both"/>
      </w:pPr>
    </w:p>
    <w:p w:rsidR="00CD41C0" w:rsidRDefault="00372CB7" w:rsidP="00CD41C0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|</m:t>
              </m:r>
            </m:den>
          </m:f>
        </m:oMath>
      </m:oMathPara>
    </w:p>
    <w:p w:rsidR="0068608E" w:rsidRDefault="0068608E"/>
    <w:p w:rsidR="00CD41C0" w:rsidRDefault="00CD41C0" w:rsidP="00CD41C0">
      <w:pPr>
        <w:jc w:val="both"/>
      </w:pPr>
      <w:r>
        <w:t xml:space="preserve">Wagi każdego neuronu tworzą wektor </w:t>
      </w:r>
      <w:proofErr w:type="spellStart"/>
      <w:r>
        <w:t>w</w:t>
      </w:r>
      <w:r>
        <w:rPr>
          <w:vertAlign w:val="subscript"/>
        </w:rPr>
        <w:t>i</w:t>
      </w:r>
      <w:proofErr w:type="spellEnd"/>
      <w:r>
        <w:t xml:space="preserve"> = [w</w:t>
      </w:r>
      <w:r>
        <w:rPr>
          <w:vertAlign w:val="subscript"/>
        </w:rPr>
        <w:t>i1</w:t>
      </w:r>
      <w:r>
        <w:t>, w</w:t>
      </w:r>
      <w:r>
        <w:rPr>
          <w:vertAlign w:val="subscript"/>
        </w:rPr>
        <w:t>i2</w:t>
      </w:r>
      <w:r>
        <w:t xml:space="preserve">, …, </w:t>
      </w:r>
      <w:proofErr w:type="spellStart"/>
      <w:r>
        <w:t>w</w:t>
      </w:r>
      <w:r>
        <w:rPr>
          <w:vertAlign w:val="subscript"/>
        </w:rPr>
        <w:t>iN</w:t>
      </w:r>
      <w:proofErr w:type="spellEnd"/>
      <w:r>
        <w:t xml:space="preserve"> ]</w:t>
      </w:r>
      <w:r>
        <w:rPr>
          <w:vertAlign w:val="superscript"/>
        </w:rPr>
        <w:t>T</w:t>
      </w:r>
      <w:r>
        <w:t xml:space="preserve">. Aktualizacja wag polega na wybraniu takiego </w:t>
      </w:r>
      <w:proofErr w:type="spellStart"/>
      <w:r>
        <w:rPr>
          <w:i/>
        </w:rPr>
        <w:t>w</w:t>
      </w:r>
      <w:r>
        <w:rPr>
          <w:i/>
          <w:vertAlign w:val="subscript"/>
        </w:rPr>
        <w:t>r</w:t>
      </w:r>
      <w:proofErr w:type="spellEnd"/>
      <w:r>
        <w:rPr>
          <w:i/>
        </w:rPr>
        <w:t xml:space="preserve"> </w:t>
      </w:r>
      <w:r>
        <w:t>który spełnia relację:</w:t>
      </w:r>
    </w:p>
    <w:p w:rsidR="00CD41C0" w:rsidRDefault="00CD41C0"/>
    <w:p w:rsidR="00CD41C0" w:rsidRPr="00CD41C0" w:rsidRDefault="00372C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i=1,…,m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(x,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CD41C0" w:rsidRPr="00CD41C0" w:rsidRDefault="00CD41C0"/>
    <w:p w:rsidR="00CD41C0" w:rsidRPr="00B73889" w:rsidRDefault="00CD41C0" w:rsidP="00CD41C0">
      <w:pPr>
        <w:jc w:val="both"/>
      </w:pPr>
      <w:r>
        <w:t xml:space="preserve">Gdzie indeks </w:t>
      </w:r>
      <w:r>
        <w:rPr>
          <w:i/>
        </w:rPr>
        <w:t>r</w:t>
      </w:r>
      <w:r>
        <w:t xml:space="preserve"> oznacza odpowiedni numer zwycięskiego neuronu do wektora </w:t>
      </w:r>
      <w:proofErr w:type="spellStart"/>
      <w:r>
        <w:rPr>
          <w:i/>
        </w:rPr>
        <w:t>w</w:t>
      </w:r>
      <w:r>
        <w:rPr>
          <w:i/>
          <w:vertAlign w:val="subscript"/>
        </w:rPr>
        <w:t>r</w:t>
      </w:r>
      <w:proofErr w:type="spellEnd"/>
      <w:r>
        <w:t xml:space="preserve"> , który jest najbliższą aproksymacją danej wejściowej </w:t>
      </w:r>
      <w:r>
        <w:rPr>
          <w:i/>
        </w:rPr>
        <w:t>x</w:t>
      </w:r>
      <w:r>
        <w:t>.</w:t>
      </w:r>
    </w:p>
    <w:p w:rsidR="00CD41C0" w:rsidRDefault="00CD41C0" w:rsidP="00CD41C0">
      <w:pPr>
        <w:jc w:val="both"/>
      </w:pPr>
      <w:proofErr w:type="spellStart"/>
      <w:r>
        <w:rPr>
          <w:i/>
        </w:rPr>
        <w:t>d</w:t>
      </w:r>
      <w:r>
        <w:rPr>
          <w:i/>
          <w:vertAlign w:val="subscript"/>
        </w:rPr>
        <w:t>m</w:t>
      </w:r>
      <w:proofErr w:type="spellEnd"/>
      <w:r>
        <w:rPr>
          <w:i/>
        </w:rPr>
        <w:t>(</w:t>
      </w:r>
      <w:proofErr w:type="spellStart"/>
      <w:r>
        <w:rPr>
          <w:i/>
        </w:rPr>
        <w:t>x,w</w:t>
      </w:r>
      <w:r>
        <w:rPr>
          <w:i/>
          <w:vertAlign w:val="subscript"/>
        </w:rPr>
        <w:t>i</w:t>
      </w:r>
      <w:proofErr w:type="spellEnd"/>
      <w:r>
        <w:rPr>
          <w:i/>
        </w:rPr>
        <w:t xml:space="preserve">) </w:t>
      </w:r>
      <w:r>
        <w:t>oznacza</w:t>
      </w:r>
      <w:r>
        <w:rPr>
          <w:i/>
        </w:rPr>
        <w:t xml:space="preserve"> </w:t>
      </w:r>
      <w:r w:rsidRPr="00E30DD0">
        <w:t>odległość</w:t>
      </w:r>
      <w:r>
        <w:t xml:space="preserve"> w sensie wybranej metryki między wektorem </w:t>
      </w:r>
      <w:r w:rsidRPr="00E30DD0">
        <w:rPr>
          <w:bCs/>
          <w:i/>
          <w:iCs/>
        </w:rPr>
        <w:t>x</w:t>
      </w:r>
      <w:r>
        <w:t xml:space="preserve"> i wektorem </w:t>
      </w:r>
      <w:r w:rsidRPr="00E30DD0">
        <w:rPr>
          <w:bCs/>
          <w:i/>
          <w:iCs/>
        </w:rPr>
        <w:t>w</w:t>
      </w:r>
      <w:r>
        <w:t xml:space="preserve">. Wybrałem metrykę typu miejskiego (Manhattan): </w:t>
      </w:r>
    </w:p>
    <w:p w:rsidR="00CD41C0" w:rsidRDefault="00CD41C0" w:rsidP="00CD41C0">
      <w:pPr>
        <w:jc w:val="both"/>
      </w:pPr>
    </w:p>
    <w:p w:rsidR="00CD41C0" w:rsidRPr="00CD41C0" w:rsidRDefault="00372CB7" w:rsidP="00CD41C0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e>
          </m:nary>
        </m:oMath>
      </m:oMathPara>
    </w:p>
    <w:p w:rsidR="00CD41C0" w:rsidRDefault="00CD41C0" w:rsidP="00CD41C0">
      <w:pPr>
        <w:jc w:val="both"/>
      </w:pPr>
    </w:p>
    <w:p w:rsidR="00CD41C0" w:rsidRDefault="00CD41C0" w:rsidP="00CD41C0">
      <w:pPr>
        <w:jc w:val="both"/>
      </w:pPr>
      <w:r>
        <w:t xml:space="preserve">Po zidentyfikowaniu zwycięskiego neuronu, jego wagi muszą być </w:t>
      </w:r>
      <w:proofErr w:type="spellStart"/>
      <w:r>
        <w:t>zaktuazowane</w:t>
      </w:r>
      <w:proofErr w:type="spellEnd"/>
      <w:r>
        <w:t>. Odbywa się to według wzoru:</w:t>
      </w:r>
    </w:p>
    <w:p w:rsidR="00CD41C0" w:rsidRDefault="00CD41C0" w:rsidP="00CD41C0">
      <w:pPr>
        <w:jc w:val="both"/>
      </w:pPr>
    </w:p>
    <w:p w:rsidR="00CD41C0" w:rsidRPr="00CD41C0" w:rsidRDefault="00372CB7" w:rsidP="00CD41C0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+η(x-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CD41C0" w:rsidRDefault="00CD41C0" w:rsidP="00CD41C0">
      <w:pPr>
        <w:jc w:val="both"/>
      </w:pPr>
    </w:p>
    <w:p w:rsidR="00CD41C0" w:rsidRDefault="00CD41C0" w:rsidP="00CD41C0">
      <w:pPr>
        <w:jc w:val="both"/>
      </w:pPr>
      <w:r w:rsidRPr="006916A5">
        <w:t xml:space="preserve">Gdzie </w:t>
      </w:r>
      <w:r>
        <w:rPr>
          <w:rFonts w:ascii="Cambria Math" w:hAnsi="Cambria Math"/>
        </w:rPr>
        <w:t>𝜂</w:t>
      </w:r>
      <w:r w:rsidRPr="006916A5">
        <w:t xml:space="preserve"> to odpowiednio mały krok uczenia wybierany </w:t>
      </w:r>
      <w:r>
        <w:t>zazwyczaj z przedziału 0.1 i 0.7. Wagi pozostałych neuronów pozostają bez zmian.</w:t>
      </w:r>
    </w:p>
    <w:p w:rsidR="00CD41C0" w:rsidRDefault="00CD41C0" w:rsidP="00CD41C0">
      <w:pPr>
        <w:jc w:val="both"/>
      </w:pPr>
      <w:r>
        <w:lastRenderedPageBreak/>
        <w:t>Na końcu procesu uczenia ostateczne wektory wag wskazują na środek grawitacji klas.</w:t>
      </w:r>
    </w:p>
    <w:p w:rsidR="00CD41C0" w:rsidRDefault="00CD41C0" w:rsidP="00CD41C0">
      <w:pPr>
        <w:jc w:val="center"/>
      </w:pPr>
      <w:r>
        <w:rPr>
          <w:noProof/>
          <w:lang w:eastAsia="pl-PL" w:bidi="ar-SA"/>
        </w:rPr>
        <w:drawing>
          <wp:inline distT="0" distB="0" distL="0" distR="0">
            <wp:extent cx="3535680" cy="2461260"/>
            <wp:effectExtent l="0" t="0" r="762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1C0" w:rsidRPr="004D7FA5" w:rsidRDefault="00CD41C0" w:rsidP="00CD41C0">
      <w:pPr>
        <w:jc w:val="center"/>
        <w:rPr>
          <w:i/>
        </w:rPr>
      </w:pPr>
      <w:r>
        <w:rPr>
          <w:i/>
        </w:rPr>
        <w:t>Rys 1. Finalne wartości wektorów wag.</w:t>
      </w:r>
    </w:p>
    <w:p w:rsidR="00CD41C0" w:rsidRDefault="00CD41C0" w:rsidP="00CD41C0">
      <w:pPr>
        <w:jc w:val="center"/>
      </w:pPr>
    </w:p>
    <w:p w:rsidR="00CD41C0" w:rsidRDefault="00CD41C0" w:rsidP="00CD41C0">
      <w:pPr>
        <w:jc w:val="both"/>
      </w:pPr>
      <w:r>
        <w:t xml:space="preserve">Warto zauważyć, że sieć będzie </w:t>
      </w:r>
      <w:proofErr w:type="spellStart"/>
      <w:r>
        <w:t>trenowalna</w:t>
      </w:r>
      <w:proofErr w:type="spellEnd"/>
      <w:r>
        <w:t xml:space="preserve"> tylko wtedy jeśli klasy są od siebie </w:t>
      </w:r>
      <w:proofErr w:type="spellStart"/>
      <w:r>
        <w:t>separowalne</w:t>
      </w:r>
      <w:proofErr w:type="spellEnd"/>
      <w:r>
        <w:t xml:space="preserve">. Aby zapewnić </w:t>
      </w:r>
      <w:proofErr w:type="spellStart"/>
      <w:r>
        <w:t>separowalność</w:t>
      </w:r>
      <w:proofErr w:type="spellEnd"/>
      <w:r>
        <w:t xml:space="preserve"> klas konieczne było użycie nadmiarowej ilości neuronów, ponieważ inicjalizacja wag sieci jest losowa, tak więc część neuronów może znaleźć się w strefie, w której nie ma danych lub ich liczba jest znikoma. Neurony takie mają niewielkie szanse na zwycięstwo i zwane są neuronami martwymi.</w:t>
      </w:r>
    </w:p>
    <w:p w:rsidR="00CD41C0" w:rsidRDefault="00CD41C0" w:rsidP="00CD41C0">
      <w:pPr>
        <w:jc w:val="both"/>
      </w:pPr>
    </w:p>
    <w:p w:rsidR="00CD41C0" w:rsidRDefault="00CD41C0" w:rsidP="00CD41C0">
      <w:pPr>
        <w:jc w:val="both"/>
      </w:pPr>
    </w:p>
    <w:p w:rsidR="00CD41C0" w:rsidRDefault="00620F29">
      <w:pPr>
        <w:rPr>
          <w:b/>
        </w:rPr>
      </w:pPr>
      <w:r>
        <w:rPr>
          <w:b/>
        </w:rPr>
        <w:t>4. Zestawienie i analiza otrzymanych wyników:</w:t>
      </w:r>
    </w:p>
    <w:p w:rsidR="00620F29" w:rsidRDefault="00620F29">
      <w:pPr>
        <w:rPr>
          <w:b/>
        </w:rPr>
      </w:pPr>
    </w:p>
    <w:p w:rsidR="00620F29" w:rsidRDefault="00620F29" w:rsidP="00620F29">
      <w:pPr>
        <w:jc w:val="center"/>
        <w:rPr>
          <w:i/>
        </w:rPr>
      </w:pPr>
      <w:r>
        <w:rPr>
          <w:i/>
        </w:rPr>
        <w:t>Tabela 1. Zbiorcze zestawienie błędów uczenia.</w:t>
      </w:r>
    </w:p>
    <w:tbl>
      <w:tblPr>
        <w:tblW w:w="468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1114"/>
        <w:gridCol w:w="1113"/>
        <w:gridCol w:w="1113"/>
      </w:tblGrid>
      <w:tr w:rsidR="00620F29" w:rsidRPr="00620F29" w:rsidTr="00620F29">
        <w:trPr>
          <w:trHeight w:val="30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F29" w:rsidRPr="00620F29" w:rsidRDefault="00620F29" w:rsidP="00620F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 </w:t>
            </w:r>
          </w:p>
        </w:tc>
        <w:tc>
          <w:tcPr>
            <w:tcW w:w="334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CC0DA"/>
            <w:noWrap/>
            <w:vAlign w:val="bottom"/>
            <w:hideMark/>
          </w:tcPr>
          <w:p w:rsidR="00620F29" w:rsidRPr="00620F29" w:rsidRDefault="00620F29" w:rsidP="00620F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%</w:t>
            </w:r>
            <w:proofErr w:type="spellStart"/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bledow</w:t>
            </w:r>
            <w:proofErr w:type="spellEnd"/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 xml:space="preserve"> w </w:t>
            </w:r>
            <w:proofErr w:type="spellStart"/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zaleznosci</w:t>
            </w:r>
            <w:proofErr w:type="spellEnd"/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 xml:space="preserve"> od </w:t>
            </w:r>
            <w:proofErr w:type="spellStart"/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learn</w:t>
            </w:r>
            <w:proofErr w:type="spellEnd"/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 xml:space="preserve"> </w:t>
            </w:r>
            <w:proofErr w:type="spellStart"/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rate</w:t>
            </w:r>
            <w:proofErr w:type="spellEnd"/>
          </w:p>
        </w:tc>
      </w:tr>
      <w:tr w:rsidR="00620F29" w:rsidRPr="00620F29" w:rsidTr="00620F29">
        <w:trPr>
          <w:trHeight w:val="300"/>
          <w:jc w:val="center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5B3D7"/>
            <w:noWrap/>
            <w:vAlign w:val="bottom"/>
            <w:hideMark/>
          </w:tcPr>
          <w:p w:rsidR="00620F29" w:rsidRPr="00620F29" w:rsidRDefault="00620F29" w:rsidP="00620F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nr testu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0,1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0,4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0,7</w:t>
            </w:r>
          </w:p>
        </w:tc>
      </w:tr>
      <w:tr w:rsidR="00620F29" w:rsidRPr="00620F29" w:rsidTr="00620F29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0,00%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0,00%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6,70%</w:t>
            </w:r>
          </w:p>
        </w:tc>
      </w:tr>
      <w:tr w:rsidR="00620F29" w:rsidRPr="00620F29" w:rsidTr="00620F29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0,00%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6,70%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0,00%</w:t>
            </w:r>
          </w:p>
        </w:tc>
      </w:tr>
      <w:tr w:rsidR="00620F29" w:rsidRPr="00620F29" w:rsidTr="00620F29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6,70%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6,70%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0,00%</w:t>
            </w:r>
          </w:p>
        </w:tc>
      </w:tr>
      <w:tr w:rsidR="00620F29" w:rsidRPr="00620F29" w:rsidTr="00620F29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0,00%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0,00%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0,00%</w:t>
            </w:r>
          </w:p>
        </w:tc>
      </w:tr>
      <w:tr w:rsidR="00620F29" w:rsidRPr="00620F29" w:rsidTr="00620F29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0,00%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0,00%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0,00%</w:t>
            </w:r>
          </w:p>
        </w:tc>
      </w:tr>
      <w:tr w:rsidR="00620F29" w:rsidRPr="00620F29" w:rsidTr="00620F29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0,00%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6,70%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0,00%</w:t>
            </w:r>
          </w:p>
        </w:tc>
      </w:tr>
      <w:tr w:rsidR="00620F29" w:rsidRPr="00620F29" w:rsidTr="00620F29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0,00%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0,00%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0,00%</w:t>
            </w:r>
          </w:p>
        </w:tc>
      </w:tr>
      <w:tr w:rsidR="00620F29" w:rsidRPr="00620F29" w:rsidTr="00620F29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0,00%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0,00%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0,00%</w:t>
            </w:r>
          </w:p>
        </w:tc>
      </w:tr>
      <w:tr w:rsidR="00620F29" w:rsidRPr="00620F29" w:rsidTr="00620F29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0,00%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0,00%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0,00%</w:t>
            </w:r>
          </w:p>
        </w:tc>
      </w:tr>
      <w:tr w:rsidR="00620F29" w:rsidRPr="00620F29" w:rsidTr="00620F29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0,00%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6,70%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6,70%</w:t>
            </w:r>
          </w:p>
        </w:tc>
      </w:tr>
      <w:tr w:rsidR="00620F29" w:rsidRPr="00620F29" w:rsidTr="00620F29">
        <w:trPr>
          <w:trHeight w:val="300"/>
          <w:jc w:val="center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20F29" w:rsidRPr="00620F29" w:rsidRDefault="00620F29" w:rsidP="00620F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ŚREDNIO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0,67%</w:t>
            </w:r>
          </w:p>
        </w:tc>
        <w:tc>
          <w:tcPr>
            <w:tcW w:w="111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2,68%</w:t>
            </w:r>
          </w:p>
        </w:tc>
        <w:tc>
          <w:tcPr>
            <w:tcW w:w="11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1,34%</w:t>
            </w:r>
          </w:p>
        </w:tc>
      </w:tr>
    </w:tbl>
    <w:p w:rsidR="00620F29" w:rsidRDefault="00620F29" w:rsidP="00620F29">
      <w:pPr>
        <w:jc w:val="center"/>
        <w:rPr>
          <w:i/>
        </w:rPr>
      </w:pPr>
    </w:p>
    <w:p w:rsidR="00620F29" w:rsidRDefault="00620F29" w:rsidP="00620F29">
      <w:pPr>
        <w:jc w:val="both"/>
      </w:pPr>
      <w:r>
        <w:t>Na tabeli 1 mamy zestawione błędy uczenia dla różnych współczynników uczenia dla każdego testu oraz obliczoną średnią. Możemy zauważyć, że najmniejszy  % błędów otrzymano dla kroku uczenia 0,1.</w:t>
      </w:r>
    </w:p>
    <w:p w:rsidR="00620F29" w:rsidRDefault="00620F29" w:rsidP="00620F29">
      <w:pPr>
        <w:jc w:val="both"/>
      </w:pPr>
    </w:p>
    <w:p w:rsidR="00620F29" w:rsidRDefault="00620F29" w:rsidP="00620F29">
      <w:pPr>
        <w:jc w:val="both"/>
      </w:pPr>
    </w:p>
    <w:p w:rsidR="00620F29" w:rsidRDefault="00620F29" w:rsidP="00620F29">
      <w:pPr>
        <w:jc w:val="both"/>
      </w:pPr>
    </w:p>
    <w:p w:rsidR="00620F29" w:rsidRDefault="00620F29" w:rsidP="00620F29">
      <w:pPr>
        <w:jc w:val="both"/>
      </w:pPr>
    </w:p>
    <w:p w:rsidR="00620F29" w:rsidRDefault="00620F29" w:rsidP="00620F29">
      <w:pPr>
        <w:jc w:val="both"/>
      </w:pPr>
    </w:p>
    <w:p w:rsidR="00620F29" w:rsidRDefault="00620F29" w:rsidP="00620F29">
      <w:pPr>
        <w:jc w:val="both"/>
      </w:pPr>
    </w:p>
    <w:p w:rsidR="00620F29" w:rsidRDefault="00620F29" w:rsidP="00620F29">
      <w:pPr>
        <w:jc w:val="center"/>
        <w:rPr>
          <w:i/>
        </w:rPr>
      </w:pPr>
      <w:r>
        <w:rPr>
          <w:i/>
        </w:rPr>
        <w:lastRenderedPageBreak/>
        <w:t>Tabela 2. Zbiorcze zestawienie liczby epok.</w:t>
      </w:r>
    </w:p>
    <w:tbl>
      <w:tblPr>
        <w:tblW w:w="506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1240"/>
        <w:gridCol w:w="1240"/>
        <w:gridCol w:w="1240"/>
      </w:tblGrid>
      <w:tr w:rsidR="00620F29" w:rsidRPr="00620F29" w:rsidTr="00620F29">
        <w:trPr>
          <w:trHeight w:val="30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F29" w:rsidRPr="00620F29" w:rsidRDefault="00620F29" w:rsidP="00620F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 </w:t>
            </w:r>
          </w:p>
        </w:tc>
        <w:tc>
          <w:tcPr>
            <w:tcW w:w="37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CC0DA"/>
            <w:noWrap/>
            <w:vAlign w:val="bottom"/>
            <w:hideMark/>
          </w:tcPr>
          <w:p w:rsidR="00620F29" w:rsidRPr="00620F29" w:rsidRDefault="00620F29" w:rsidP="00620F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 xml:space="preserve">liczba epok w </w:t>
            </w:r>
            <w:proofErr w:type="spellStart"/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zaleznosci</w:t>
            </w:r>
            <w:proofErr w:type="spellEnd"/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 xml:space="preserve"> od </w:t>
            </w:r>
            <w:proofErr w:type="spellStart"/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learn</w:t>
            </w:r>
            <w:proofErr w:type="spellEnd"/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 xml:space="preserve"> </w:t>
            </w:r>
            <w:proofErr w:type="spellStart"/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rate</w:t>
            </w:r>
            <w:proofErr w:type="spellEnd"/>
          </w:p>
        </w:tc>
      </w:tr>
      <w:tr w:rsidR="00620F29" w:rsidRPr="00620F29" w:rsidTr="00620F29">
        <w:trPr>
          <w:trHeight w:val="300"/>
          <w:jc w:val="center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DB4E2"/>
            <w:noWrap/>
            <w:vAlign w:val="bottom"/>
            <w:hideMark/>
          </w:tcPr>
          <w:p w:rsidR="00620F29" w:rsidRPr="00620F29" w:rsidRDefault="00620F29" w:rsidP="00620F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nr testu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0,7</w:t>
            </w:r>
          </w:p>
        </w:tc>
      </w:tr>
      <w:tr w:rsidR="00620F29" w:rsidRPr="00620F29" w:rsidTr="00620F29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1</w:t>
            </w:r>
          </w:p>
        </w:tc>
      </w:tr>
      <w:tr w:rsidR="00620F29" w:rsidRPr="00620F29" w:rsidTr="00620F29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1</w:t>
            </w:r>
          </w:p>
        </w:tc>
      </w:tr>
      <w:tr w:rsidR="00620F29" w:rsidRPr="00620F29" w:rsidTr="00620F29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1</w:t>
            </w:r>
          </w:p>
        </w:tc>
      </w:tr>
      <w:tr w:rsidR="00620F29" w:rsidRPr="00620F29" w:rsidTr="00620F29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1</w:t>
            </w:r>
          </w:p>
        </w:tc>
      </w:tr>
      <w:tr w:rsidR="00620F29" w:rsidRPr="00620F29" w:rsidTr="00620F29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1</w:t>
            </w:r>
          </w:p>
        </w:tc>
      </w:tr>
      <w:tr w:rsidR="00620F29" w:rsidRPr="00620F29" w:rsidTr="00620F29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1</w:t>
            </w:r>
          </w:p>
        </w:tc>
      </w:tr>
      <w:tr w:rsidR="00620F29" w:rsidRPr="00620F29" w:rsidTr="00620F29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1</w:t>
            </w:r>
          </w:p>
        </w:tc>
      </w:tr>
      <w:tr w:rsidR="00620F29" w:rsidRPr="00620F29" w:rsidTr="00620F29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1</w:t>
            </w:r>
          </w:p>
        </w:tc>
      </w:tr>
      <w:tr w:rsidR="00620F29" w:rsidRPr="00620F29" w:rsidTr="00620F29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2</w:t>
            </w:r>
          </w:p>
        </w:tc>
      </w:tr>
      <w:tr w:rsidR="00620F29" w:rsidRPr="00620F29" w:rsidTr="00620F29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2</w:t>
            </w:r>
          </w:p>
        </w:tc>
      </w:tr>
      <w:tr w:rsidR="00620F29" w:rsidRPr="00620F29" w:rsidTr="00620F29">
        <w:trPr>
          <w:trHeight w:val="300"/>
          <w:jc w:val="center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20F29" w:rsidRPr="00620F29" w:rsidRDefault="00620F29" w:rsidP="00620F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ŚREDNIO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3,4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1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:rsidR="00620F29" w:rsidRPr="00620F29" w:rsidRDefault="00620F29" w:rsidP="00620F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620F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1,2</w:t>
            </w:r>
          </w:p>
        </w:tc>
      </w:tr>
    </w:tbl>
    <w:p w:rsidR="00620F29" w:rsidRDefault="00620F29" w:rsidP="00620F29">
      <w:pPr>
        <w:jc w:val="center"/>
        <w:rPr>
          <w:i/>
        </w:rPr>
      </w:pPr>
    </w:p>
    <w:p w:rsidR="00620F29" w:rsidRDefault="00620F29" w:rsidP="00620F29">
      <w:pPr>
        <w:jc w:val="both"/>
      </w:pPr>
      <w:r>
        <w:t xml:space="preserve">Na tabeli 2 mamy zebrane wyniki liczby epok w zależności od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. Dostrzec można, że sieć </w:t>
      </w:r>
      <w:proofErr w:type="spellStart"/>
      <w:r>
        <w:t>uczyla</w:t>
      </w:r>
      <w:proofErr w:type="spellEnd"/>
      <w:r>
        <w:t xml:space="preserve"> się dłużej dla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0,1 w porównaniu z 0,4 i 0,7.</w:t>
      </w:r>
    </w:p>
    <w:p w:rsidR="00620F29" w:rsidRDefault="00620F29" w:rsidP="00620F29">
      <w:pPr>
        <w:jc w:val="both"/>
      </w:pPr>
    </w:p>
    <w:p w:rsidR="00620F29" w:rsidRDefault="00620F29" w:rsidP="00620F29">
      <w:pPr>
        <w:jc w:val="both"/>
      </w:pPr>
    </w:p>
    <w:p w:rsidR="00620F29" w:rsidRDefault="00620F29" w:rsidP="00620F29">
      <w:pPr>
        <w:jc w:val="both"/>
      </w:pPr>
    </w:p>
    <w:p w:rsidR="00620F29" w:rsidRDefault="00620F29" w:rsidP="00620F29">
      <w:pPr>
        <w:jc w:val="center"/>
      </w:pPr>
      <w:r>
        <w:rPr>
          <w:noProof/>
          <w:lang w:eastAsia="pl-PL" w:bidi="ar-SA"/>
        </w:rPr>
        <w:drawing>
          <wp:inline distT="0" distB="0" distL="0" distR="0" wp14:anchorId="2C096223" wp14:editId="3D44F70C">
            <wp:extent cx="5036820" cy="3188970"/>
            <wp:effectExtent l="0" t="0" r="11430" b="1143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20F29" w:rsidRDefault="00620F29" w:rsidP="00620F29">
      <w:pPr>
        <w:jc w:val="center"/>
      </w:pPr>
    </w:p>
    <w:p w:rsidR="00620F29" w:rsidRDefault="00620F29" w:rsidP="00620F29">
      <w:pPr>
        <w:jc w:val="both"/>
      </w:pPr>
      <w:r>
        <w:t>Na powyższym wykresie widz</w:t>
      </w:r>
      <w:r w:rsidR="00DB4DB5">
        <w:t xml:space="preserve">imy, że najmniejszy średni % błędów osiągany był przy </w:t>
      </w:r>
      <w:proofErr w:type="spellStart"/>
      <w:r w:rsidR="00DB4DB5">
        <w:t>learn</w:t>
      </w:r>
      <w:proofErr w:type="spellEnd"/>
      <w:r w:rsidR="00DB4DB5">
        <w:t xml:space="preserve"> </w:t>
      </w:r>
      <w:proofErr w:type="spellStart"/>
      <w:r w:rsidR="00DB4DB5">
        <w:t>rate</w:t>
      </w:r>
      <w:proofErr w:type="spellEnd"/>
      <w:r w:rsidR="00DB4DB5">
        <w:t xml:space="preserve"> 0,1. Następnie ilość błędów znacznie wzrosła przy 0,4. Spowodowane może być to faktem, iż sieć uczyła się mniej dokładnie.</w:t>
      </w:r>
    </w:p>
    <w:p w:rsidR="00DB4DB5" w:rsidRDefault="00DB4DB5" w:rsidP="00620F29">
      <w:pPr>
        <w:jc w:val="both"/>
      </w:pPr>
    </w:p>
    <w:p w:rsidR="00DB4DB5" w:rsidRDefault="00DB4DB5" w:rsidP="00620F29">
      <w:pPr>
        <w:jc w:val="both"/>
      </w:pPr>
    </w:p>
    <w:p w:rsidR="00DB4DB5" w:rsidRDefault="00DB4DB5" w:rsidP="00620F29">
      <w:pPr>
        <w:jc w:val="both"/>
      </w:pPr>
    </w:p>
    <w:p w:rsidR="00DB4DB5" w:rsidRDefault="00DB4DB5" w:rsidP="00DB4DB5">
      <w:pPr>
        <w:jc w:val="center"/>
      </w:pPr>
      <w:r>
        <w:rPr>
          <w:noProof/>
          <w:lang w:eastAsia="pl-PL" w:bidi="ar-SA"/>
        </w:rPr>
        <w:lastRenderedPageBreak/>
        <w:drawing>
          <wp:inline distT="0" distB="0" distL="0" distR="0" wp14:anchorId="0654BB23" wp14:editId="28B8A857">
            <wp:extent cx="5227320" cy="3295650"/>
            <wp:effectExtent l="0" t="0" r="11430" b="19050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B4DB5" w:rsidRDefault="00DB4DB5" w:rsidP="00620F29">
      <w:pPr>
        <w:jc w:val="both"/>
      </w:pPr>
    </w:p>
    <w:p w:rsidR="00DB4DB5" w:rsidRDefault="00DB4DB5" w:rsidP="00620F29">
      <w:pPr>
        <w:jc w:val="both"/>
      </w:pPr>
      <w:r>
        <w:t xml:space="preserve">Na powyższym wykresie widać jak wraz ze wzrostem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średnia liczba epok spadła. Ma to związek oczywiście z tym, że przy wyższym kroku uczenia sieć jest w stanie szybciej dojść do rozwiązania.</w:t>
      </w:r>
    </w:p>
    <w:p w:rsidR="00DB4DB5" w:rsidRDefault="00DB4DB5" w:rsidP="00620F29">
      <w:pPr>
        <w:jc w:val="both"/>
      </w:pPr>
    </w:p>
    <w:p w:rsidR="00DB4DB5" w:rsidRDefault="00DB4DB5" w:rsidP="00620F29">
      <w:pPr>
        <w:jc w:val="both"/>
      </w:pPr>
    </w:p>
    <w:p w:rsidR="00DB4DB5" w:rsidRDefault="00DB4DB5" w:rsidP="00620F29">
      <w:pPr>
        <w:jc w:val="both"/>
      </w:pPr>
      <w:r>
        <w:t xml:space="preserve">Spoglądając na dwa powyższe wykresy zauważyć można pewną zależność. Przy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0,4 nasza sieć nauczyła się najszybciej jednak </w:t>
      </w:r>
      <w:proofErr w:type="spellStart"/>
      <w:r>
        <w:t>mylila</w:t>
      </w:r>
      <w:proofErr w:type="spellEnd"/>
      <w:r>
        <w:t xml:space="preserve"> się ona częściej niż w innych przypadkach. Zaś przy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0,1 sieć uczyła się najdłużej lecz średni % popełnianych błędów był najniższy. Może mieć to związek z faktem, że przy większej liczbie epok sieć była wstanie nauczyć się bardziej szczegółowo.</w:t>
      </w:r>
      <w:r w:rsidR="000B0B57">
        <w:t xml:space="preserve"> Zależność tą przedstawiono na poniższym wykresie.</w:t>
      </w:r>
    </w:p>
    <w:p w:rsidR="000B0B57" w:rsidRDefault="000B0B57" w:rsidP="00620F29">
      <w:pPr>
        <w:jc w:val="both"/>
      </w:pPr>
    </w:p>
    <w:p w:rsidR="000B0B57" w:rsidRDefault="000B0B57" w:rsidP="000B0B57">
      <w:pPr>
        <w:jc w:val="center"/>
      </w:pPr>
      <w:r>
        <w:rPr>
          <w:noProof/>
          <w:lang w:eastAsia="pl-PL" w:bidi="ar-SA"/>
        </w:rPr>
        <w:drawing>
          <wp:inline distT="0" distB="0" distL="0" distR="0" wp14:anchorId="6D9FD92E" wp14:editId="7863EB05">
            <wp:extent cx="5951220" cy="3246120"/>
            <wp:effectExtent l="0" t="0" r="11430" b="11430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B0B57" w:rsidRDefault="000B0B57" w:rsidP="000B0B57">
      <w:pPr>
        <w:jc w:val="both"/>
      </w:pPr>
      <w:r>
        <w:t>Widać odwrotną proporcjonalność liczby epok do % błędów uczenia.</w:t>
      </w:r>
    </w:p>
    <w:p w:rsidR="000B0B57" w:rsidRDefault="000B0B57" w:rsidP="000B0B57">
      <w:pPr>
        <w:jc w:val="both"/>
      </w:pPr>
    </w:p>
    <w:p w:rsidR="000B0B57" w:rsidRDefault="000B0B57" w:rsidP="000B0B57">
      <w:pPr>
        <w:jc w:val="both"/>
        <w:rPr>
          <w:b/>
        </w:rPr>
      </w:pPr>
      <w:r>
        <w:rPr>
          <w:b/>
        </w:rPr>
        <w:lastRenderedPageBreak/>
        <w:t>5. Sformułowanie wniosków.</w:t>
      </w:r>
    </w:p>
    <w:p w:rsidR="000B0B57" w:rsidRDefault="000B0B57" w:rsidP="000B0B57">
      <w:pPr>
        <w:jc w:val="both"/>
        <w:rPr>
          <w:b/>
        </w:rPr>
      </w:pPr>
    </w:p>
    <w:p w:rsidR="00FB74B4" w:rsidRDefault="000B0B57" w:rsidP="000B0B57">
      <w:pPr>
        <w:jc w:val="both"/>
      </w:pPr>
      <w:r>
        <w:t xml:space="preserve">Na podstawie uzyskanych wyników, można wnioskować, że sieć </w:t>
      </w:r>
      <w:proofErr w:type="spellStart"/>
      <w:r>
        <w:t>Kohonena</w:t>
      </w:r>
      <w:proofErr w:type="spellEnd"/>
      <w:r>
        <w:t xml:space="preserve"> z algorytmem uczenia WTA świetnie nadaje się do problemu odróżniania kwiatów. Sieć szybko się uczyła a błędy przez nią popełniane były na bardzo niskim poziomie.</w:t>
      </w:r>
      <w:r w:rsidR="00FB74B4">
        <w:t xml:space="preserve"> Najlepsze wyniki osiągane były przy </w:t>
      </w:r>
      <w:proofErr w:type="spellStart"/>
      <w:r w:rsidR="00FB74B4">
        <w:t>learn</w:t>
      </w:r>
      <w:proofErr w:type="spellEnd"/>
      <w:r w:rsidR="00FB74B4">
        <w:t xml:space="preserve"> </w:t>
      </w:r>
      <w:proofErr w:type="spellStart"/>
      <w:r w:rsidR="00FB74B4">
        <w:t>rate</w:t>
      </w:r>
      <w:proofErr w:type="spellEnd"/>
      <w:r w:rsidR="00FB74B4">
        <w:t xml:space="preserve"> równym 0,1 co może oznaczać, że była to optymalna wartość. Dla wyższych współczynników osiągane były gorsze rezultaty.</w:t>
      </w:r>
    </w:p>
    <w:p w:rsidR="00882641" w:rsidRDefault="00882641" w:rsidP="000B0B57">
      <w:pPr>
        <w:jc w:val="both"/>
      </w:pPr>
    </w:p>
    <w:p w:rsidR="00882641" w:rsidRDefault="00882641" w:rsidP="000B0B57">
      <w:pPr>
        <w:jc w:val="both"/>
      </w:pPr>
      <w:r>
        <w:t>Ważne było aby dane uczące były znormalizowane, ponieważ w przeciwnym razie zwycięzcą prawie zawsze</w:t>
      </w:r>
      <w:r w:rsidR="006F5E78">
        <w:t xml:space="preserve"> w kolejnych epokach</w:t>
      </w:r>
      <w:r>
        <w:t xml:space="preserve"> byłby ten sam neuron z powodu faktu, że po pierwszej modyfikacji wag, wektor wagowy zwycięzcy byłby dużo bliżej rozwiązania niż reszty neuronów, których to wektory początkowo znajdowały się w dużej odległości od wektorów uczących</w:t>
      </w:r>
      <w:r w:rsidR="006F5E78">
        <w:t xml:space="preserve">. </w:t>
      </w:r>
      <w:r>
        <w:t>Dzięki normalizacji wektory wszystkich wag znajdowały się w otoczeniu danych uczących od początku.</w:t>
      </w:r>
    </w:p>
    <w:p w:rsidR="008900FB" w:rsidRDefault="008900FB" w:rsidP="000B0B57">
      <w:pPr>
        <w:jc w:val="both"/>
      </w:pPr>
    </w:p>
    <w:p w:rsidR="008900FB" w:rsidRDefault="008900FB" w:rsidP="000B0B57">
      <w:pPr>
        <w:jc w:val="both"/>
        <w:rPr>
          <w:b/>
        </w:rPr>
      </w:pPr>
      <w:r>
        <w:rPr>
          <w:b/>
        </w:rPr>
        <w:t>6. Listing kodu</w:t>
      </w:r>
    </w:p>
    <w:p w:rsidR="008900FB" w:rsidRDefault="008900FB" w:rsidP="000B0B57">
      <w:pPr>
        <w:jc w:val="both"/>
        <w:rPr>
          <w:b/>
        </w:rPr>
      </w:pPr>
    </w:p>
    <w:p w:rsidR="008900FB" w:rsidRDefault="002C3E09" w:rsidP="000B0B57">
      <w:pPr>
        <w:jc w:val="both"/>
        <w:rPr>
          <w:b/>
        </w:rPr>
      </w:pPr>
      <w:r>
        <w:rPr>
          <w:b/>
          <w:noProof/>
          <w:lang w:eastAsia="pl-PL" w:bidi="ar-SA"/>
        </w:rPr>
        <w:drawing>
          <wp:inline distT="0" distB="0" distL="0" distR="0">
            <wp:extent cx="5760720" cy="4130040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E09" w:rsidRDefault="002C3E09" w:rsidP="000B0B57">
      <w:pPr>
        <w:jc w:val="both"/>
        <w:rPr>
          <w:b/>
        </w:rPr>
      </w:pPr>
    </w:p>
    <w:p w:rsidR="002C3E09" w:rsidRDefault="002C3E09" w:rsidP="000B0B57">
      <w:pPr>
        <w:jc w:val="both"/>
        <w:rPr>
          <w:b/>
        </w:rPr>
      </w:pPr>
      <w:r>
        <w:rPr>
          <w:b/>
          <w:noProof/>
          <w:lang w:eastAsia="pl-PL" w:bidi="ar-SA"/>
        </w:rPr>
        <w:lastRenderedPageBreak/>
        <w:drawing>
          <wp:inline distT="0" distB="0" distL="0" distR="0">
            <wp:extent cx="5753100" cy="64389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pl-PL" w:bidi="ar-SA"/>
        </w:rPr>
        <w:lastRenderedPageBreak/>
        <w:drawing>
          <wp:inline distT="0" distB="0" distL="0" distR="0">
            <wp:extent cx="5684520" cy="6050280"/>
            <wp:effectExtent l="0" t="0" r="0" b="762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pl-PL" w:bidi="ar-SA"/>
        </w:rPr>
        <w:lastRenderedPageBreak/>
        <w:drawing>
          <wp:inline distT="0" distB="0" distL="0" distR="0">
            <wp:extent cx="5760720" cy="41148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pl-PL" w:bidi="ar-SA"/>
        </w:rPr>
        <w:drawing>
          <wp:inline distT="0" distB="0" distL="0" distR="0">
            <wp:extent cx="5753100" cy="379476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pl-PL" w:bidi="ar-SA"/>
        </w:rPr>
        <w:lastRenderedPageBreak/>
        <w:drawing>
          <wp:inline distT="0" distB="0" distL="0" distR="0">
            <wp:extent cx="5753100" cy="3764280"/>
            <wp:effectExtent l="0" t="0" r="0" b="762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pl-PL" w:bidi="ar-SA"/>
        </w:rPr>
        <w:drawing>
          <wp:inline distT="0" distB="0" distL="0" distR="0">
            <wp:extent cx="5760720" cy="3573780"/>
            <wp:effectExtent l="0" t="0" r="0" b="762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E09" w:rsidRDefault="002C3E09" w:rsidP="000B0B57">
      <w:pPr>
        <w:jc w:val="both"/>
        <w:rPr>
          <w:b/>
        </w:rPr>
      </w:pPr>
    </w:p>
    <w:p w:rsidR="002C3E09" w:rsidRDefault="002C3E09" w:rsidP="000B0B57">
      <w:pPr>
        <w:jc w:val="both"/>
        <w:rPr>
          <w:b/>
        </w:rPr>
      </w:pPr>
      <w:r>
        <w:rPr>
          <w:b/>
        </w:rPr>
        <w:t>7. Bibliografia:</w:t>
      </w:r>
    </w:p>
    <w:p w:rsidR="00883079" w:rsidRDefault="00883079" w:rsidP="00407AD9">
      <w:r>
        <w:t>Stanisław Osowski – Sieci neuronowe do przetwarzania informacji, ISBN 83-7207-615-4</w:t>
      </w:r>
    </w:p>
    <w:p w:rsidR="00407AD9" w:rsidRDefault="00407AD9" w:rsidP="00407AD9">
      <w:hyperlink r:id="rId17" w:history="1">
        <w:r w:rsidRPr="008868A2">
          <w:rPr>
            <w:rStyle w:val="Hipercze"/>
          </w:rPr>
          <w:t>http://uni-obuda.hu/users/fuller.robert/winner.pdf</w:t>
        </w:r>
      </w:hyperlink>
    </w:p>
    <w:p w:rsidR="00407AD9" w:rsidRDefault="00407AD9" w:rsidP="00407AD9">
      <w:hyperlink r:id="rId18" w:history="1">
        <w:r w:rsidRPr="008868A2">
          <w:rPr>
            <w:rStyle w:val="Hipercze"/>
          </w:rPr>
          <w:t>https://en.wikipedia.org/wiki/Iris_flower_data_set</w:t>
        </w:r>
      </w:hyperlink>
    </w:p>
    <w:p w:rsidR="00407AD9" w:rsidRDefault="00407AD9" w:rsidP="00407AD9">
      <w:hyperlink r:id="rId19" w:history="1">
        <w:r w:rsidRPr="008868A2">
          <w:rPr>
            <w:rStyle w:val="Hipercze"/>
          </w:rPr>
          <w:t>http://www.michalbereta.pl/dydaktyka/WdoSI/lab_neuronowe_II/Sieci_Neuronowe_2%20Sieci%20Kohonena.pdf</w:t>
        </w:r>
      </w:hyperlink>
    </w:p>
    <w:p w:rsidR="00407AD9" w:rsidRDefault="00407AD9" w:rsidP="00407AD9">
      <w:bookmarkStart w:id="0" w:name="_GoBack"/>
      <w:bookmarkEnd w:id="0"/>
    </w:p>
    <w:p w:rsidR="002C3E09" w:rsidRPr="002C3E09" w:rsidRDefault="002C3E09" w:rsidP="000B0B57">
      <w:pPr>
        <w:jc w:val="both"/>
        <w:rPr>
          <w:b/>
        </w:rPr>
      </w:pPr>
    </w:p>
    <w:sectPr w:rsidR="002C3E09" w:rsidRPr="002C3E09" w:rsidSect="00CD41C0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4020B"/>
    <w:multiLevelType w:val="hybridMultilevel"/>
    <w:tmpl w:val="9BEE8F4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CDD"/>
    <w:rsid w:val="000B0B57"/>
    <w:rsid w:val="00266CDD"/>
    <w:rsid w:val="002C3E09"/>
    <w:rsid w:val="00372CB7"/>
    <w:rsid w:val="00407AD9"/>
    <w:rsid w:val="00620F29"/>
    <w:rsid w:val="0068608E"/>
    <w:rsid w:val="006F5E78"/>
    <w:rsid w:val="00882641"/>
    <w:rsid w:val="00883079"/>
    <w:rsid w:val="008900FB"/>
    <w:rsid w:val="00CD41C0"/>
    <w:rsid w:val="00DB4DB5"/>
    <w:rsid w:val="00FB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D41C0"/>
    <w:pPr>
      <w:spacing w:after="0" w:line="240" w:lineRule="auto"/>
    </w:pPr>
    <w:rPr>
      <w:rFonts w:ascii="Liberation Serif" w:eastAsia="WenQuanYi Micro Hei" w:hAnsi="Liberation Serif" w:cs="Lohit Devanagari"/>
      <w:color w:val="00000A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D41C0"/>
    <w:pPr>
      <w:ind w:left="720"/>
      <w:contextualSpacing/>
    </w:pPr>
    <w:rPr>
      <w:rFonts w:cs="Mangal"/>
      <w:szCs w:val="21"/>
    </w:rPr>
  </w:style>
  <w:style w:type="character" w:styleId="Tekstzastpczy">
    <w:name w:val="Placeholder Text"/>
    <w:basedOn w:val="Domylnaczcionkaakapitu"/>
    <w:uiPriority w:val="99"/>
    <w:semiHidden/>
    <w:rsid w:val="00CD41C0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D41C0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41C0"/>
    <w:rPr>
      <w:rFonts w:ascii="Tahoma" w:eastAsia="WenQuanYi Micro Hei" w:hAnsi="Tahoma" w:cs="Mangal"/>
      <w:color w:val="00000A"/>
      <w:sz w:val="16"/>
      <w:szCs w:val="14"/>
      <w:lang w:eastAsia="zh-CN" w:bidi="hi-IN"/>
    </w:rPr>
  </w:style>
  <w:style w:type="character" w:styleId="Hipercze">
    <w:name w:val="Hyperlink"/>
    <w:basedOn w:val="Domylnaczcionkaakapitu"/>
    <w:uiPriority w:val="99"/>
    <w:unhideWhenUsed/>
    <w:rsid w:val="00407A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D41C0"/>
    <w:pPr>
      <w:spacing w:after="0" w:line="240" w:lineRule="auto"/>
    </w:pPr>
    <w:rPr>
      <w:rFonts w:ascii="Liberation Serif" w:eastAsia="WenQuanYi Micro Hei" w:hAnsi="Liberation Serif" w:cs="Lohit Devanagari"/>
      <w:color w:val="00000A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D41C0"/>
    <w:pPr>
      <w:ind w:left="720"/>
      <w:contextualSpacing/>
    </w:pPr>
    <w:rPr>
      <w:rFonts w:cs="Mangal"/>
      <w:szCs w:val="21"/>
    </w:rPr>
  </w:style>
  <w:style w:type="character" w:styleId="Tekstzastpczy">
    <w:name w:val="Placeholder Text"/>
    <w:basedOn w:val="Domylnaczcionkaakapitu"/>
    <w:uiPriority w:val="99"/>
    <w:semiHidden/>
    <w:rsid w:val="00CD41C0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D41C0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41C0"/>
    <w:rPr>
      <w:rFonts w:ascii="Tahoma" w:eastAsia="WenQuanYi Micro Hei" w:hAnsi="Tahoma" w:cs="Mangal"/>
      <w:color w:val="00000A"/>
      <w:sz w:val="16"/>
      <w:szCs w:val="14"/>
      <w:lang w:eastAsia="zh-CN" w:bidi="hi-IN"/>
    </w:rPr>
  </w:style>
  <w:style w:type="character" w:styleId="Hipercze">
    <w:name w:val="Hyperlink"/>
    <w:basedOn w:val="Domylnaczcionkaakapitu"/>
    <w:uiPriority w:val="99"/>
    <w:unhideWhenUsed/>
    <w:rsid w:val="00407A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5.png"/><Relationship Id="rId18" Type="http://schemas.openxmlformats.org/officeDocument/2006/relationships/hyperlink" Target="https://en.wikipedia.org/wiki/Iris_flower_data_set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chart" Target="charts/chart1.xml"/><Relationship Id="rId12" Type="http://schemas.openxmlformats.org/officeDocument/2006/relationships/image" Target="media/image4.png"/><Relationship Id="rId17" Type="http://schemas.openxmlformats.org/officeDocument/2006/relationships/hyperlink" Target="http://uni-obuda.hu/users/fuller.robert/winner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://www.michalbereta.pl/dydaktyka/WdoSI/lab_neuronowe_II/Sieci_Neuronowe_2%20Sieci%20Kohonena.pdf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3.xml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zysz\Desktop\sprawozdanie5dan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zysz\Desktop\sprawozdanie5dane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zysz\Desktop\sprawozdanie5dan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Średni</a:t>
            </a:r>
            <a:r>
              <a:rPr lang="pl-PL" baseline="0"/>
              <a:t> % błedów w zależności od learn rate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xVal>
            <c:numRef>
              <c:f>Arkusz1!$C$8:$E$8</c:f>
              <c:numCache>
                <c:formatCode>General</c:formatCode>
                <c:ptCount val="3"/>
                <c:pt idx="0">
                  <c:v>0.1</c:v>
                </c:pt>
                <c:pt idx="1">
                  <c:v>0.4</c:v>
                </c:pt>
                <c:pt idx="2">
                  <c:v>0.7</c:v>
                </c:pt>
              </c:numCache>
            </c:numRef>
          </c:xVal>
          <c:yVal>
            <c:numRef>
              <c:f>Arkusz1!$C$19:$E$19</c:f>
              <c:numCache>
                <c:formatCode>0.00%</c:formatCode>
                <c:ptCount val="3"/>
                <c:pt idx="0">
                  <c:v>6.7000000000000002E-3</c:v>
                </c:pt>
                <c:pt idx="1">
                  <c:v>2.6800000000000001E-2</c:v>
                </c:pt>
                <c:pt idx="2">
                  <c:v>1.34E-2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9045120"/>
        <c:axId val="269075968"/>
      </c:scatterChart>
      <c:valAx>
        <c:axId val="269045120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learn rate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69075968"/>
        <c:crosses val="autoZero"/>
        <c:crossBetween val="midCat"/>
      </c:valAx>
      <c:valAx>
        <c:axId val="269075968"/>
        <c:scaling>
          <c:orientation val="minMax"/>
        </c:scaling>
        <c:delete val="0"/>
        <c:axPos val="l"/>
        <c:majorGridlines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% popełnionych błedów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6904512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ctr">
              <a:defRPr/>
            </a:pPr>
            <a:r>
              <a:rPr lang="pl-PL"/>
              <a:t>Średnia</a:t>
            </a:r>
            <a:r>
              <a:rPr lang="pl-PL" baseline="0"/>
              <a:t> l</a:t>
            </a:r>
            <a:r>
              <a:rPr lang="pl-PL"/>
              <a:t>iczba epok w zależności</a:t>
            </a:r>
            <a:r>
              <a:rPr lang="pl-PL" baseline="0"/>
              <a:t> od learn rate</a:t>
            </a:r>
            <a:endParaRPr lang="pl-PL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xVal>
            <c:numRef>
              <c:f>Arkusz1!$C$26:$E$26</c:f>
              <c:numCache>
                <c:formatCode>General</c:formatCode>
                <c:ptCount val="3"/>
                <c:pt idx="0">
                  <c:v>0.1</c:v>
                </c:pt>
                <c:pt idx="1">
                  <c:v>0.4</c:v>
                </c:pt>
                <c:pt idx="2">
                  <c:v>0.7</c:v>
                </c:pt>
              </c:numCache>
            </c:numRef>
          </c:xVal>
          <c:yVal>
            <c:numRef>
              <c:f>Arkusz1!$C$37:$E$37</c:f>
              <c:numCache>
                <c:formatCode>General</c:formatCode>
                <c:ptCount val="3"/>
                <c:pt idx="0">
                  <c:v>3.4</c:v>
                </c:pt>
                <c:pt idx="1">
                  <c:v>1</c:v>
                </c:pt>
                <c:pt idx="2">
                  <c:v>1.2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9084160"/>
        <c:axId val="269086080"/>
      </c:scatterChart>
      <c:valAx>
        <c:axId val="269084160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learn rate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69086080"/>
        <c:crosses val="autoZero"/>
        <c:crossBetween val="midCat"/>
      </c:valAx>
      <c:valAx>
        <c:axId val="269086080"/>
        <c:scaling>
          <c:orientation val="minMax"/>
        </c:scaling>
        <c:delete val="0"/>
        <c:axPos val="l"/>
        <c:majorGridlines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liczba epok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6908416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Zestawienie błędów uczenia i liczby epok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%błędów uczenia</c:v>
          </c:tx>
          <c:xVal>
            <c:numRef>
              <c:f>Arkusz1!$C$8:$E$8</c:f>
              <c:numCache>
                <c:formatCode>General</c:formatCode>
                <c:ptCount val="3"/>
                <c:pt idx="0">
                  <c:v>0.1</c:v>
                </c:pt>
                <c:pt idx="1">
                  <c:v>0.4</c:v>
                </c:pt>
                <c:pt idx="2">
                  <c:v>0.7</c:v>
                </c:pt>
              </c:numCache>
            </c:numRef>
          </c:xVal>
          <c:yVal>
            <c:numRef>
              <c:f>Arkusz1!$C$19:$E$19</c:f>
              <c:numCache>
                <c:formatCode>0.00%</c:formatCode>
                <c:ptCount val="3"/>
                <c:pt idx="0">
                  <c:v>6.7000000000000002E-3</c:v>
                </c:pt>
                <c:pt idx="1">
                  <c:v>2.6800000000000001E-2</c:v>
                </c:pt>
                <c:pt idx="2">
                  <c:v>1.34E-2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9121024"/>
        <c:axId val="269122944"/>
      </c:scatterChart>
      <c:scatterChart>
        <c:scatterStyle val="smoothMarker"/>
        <c:varyColors val="0"/>
        <c:ser>
          <c:idx val="1"/>
          <c:order val="1"/>
          <c:tx>
            <c:v>liczba epok</c:v>
          </c:tx>
          <c:xVal>
            <c:numRef>
              <c:f>Arkusz1!$C$26:$E$26</c:f>
              <c:numCache>
                <c:formatCode>General</c:formatCode>
                <c:ptCount val="3"/>
                <c:pt idx="0">
                  <c:v>0.1</c:v>
                </c:pt>
                <c:pt idx="1">
                  <c:v>0.4</c:v>
                </c:pt>
                <c:pt idx="2">
                  <c:v>0.7</c:v>
                </c:pt>
              </c:numCache>
            </c:numRef>
          </c:xVal>
          <c:yVal>
            <c:numRef>
              <c:f>Arkusz1!$C$37:$E$37</c:f>
              <c:numCache>
                <c:formatCode>General</c:formatCode>
                <c:ptCount val="3"/>
                <c:pt idx="0">
                  <c:v>3.4</c:v>
                </c:pt>
                <c:pt idx="1">
                  <c:v>1</c:v>
                </c:pt>
                <c:pt idx="2">
                  <c:v>1.2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9131136"/>
        <c:axId val="269129216"/>
      </c:scatterChart>
      <c:valAx>
        <c:axId val="2691210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learn rate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69122944"/>
        <c:crosses val="autoZero"/>
        <c:crossBetween val="midCat"/>
      </c:valAx>
      <c:valAx>
        <c:axId val="2691229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% błędów</a:t>
                </a:r>
                <a:r>
                  <a:rPr lang="pl-PL" baseline="0"/>
                  <a:t> uczenia</a:t>
                </a:r>
                <a:endParaRPr lang="pl-PL"/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69121024"/>
        <c:crosses val="autoZero"/>
        <c:crossBetween val="midCat"/>
      </c:valAx>
      <c:valAx>
        <c:axId val="269129216"/>
        <c:scaling>
          <c:orientation val="minMax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liczba epok</a:t>
                </a:r>
              </a:p>
            </c:rich>
          </c:tx>
          <c:layout>
            <c:manualLayout>
              <c:xMode val="edge"/>
              <c:yMode val="edge"/>
              <c:x val="0.72164243358469082"/>
              <c:y val="0.3433519448838746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69131136"/>
        <c:crosses val="max"/>
        <c:crossBetween val="midCat"/>
      </c:valAx>
      <c:valAx>
        <c:axId val="26913113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269129216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7049646963143692"/>
          <c:y val="0.64634024620161912"/>
          <c:w val="0.21456541683890026"/>
          <c:h val="0.1414938449595209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813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Szysz</dc:creator>
  <cp:lastModifiedBy>Szysz</cp:lastModifiedBy>
  <cp:revision>10</cp:revision>
  <cp:lastPrinted>2018-01-11T20:22:00Z</cp:lastPrinted>
  <dcterms:created xsi:type="dcterms:W3CDTF">2018-01-11T19:01:00Z</dcterms:created>
  <dcterms:modified xsi:type="dcterms:W3CDTF">2018-01-11T20:22:00Z</dcterms:modified>
</cp:coreProperties>
</file>