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2809" w14:textId="6E704D57" w:rsidR="0046480D" w:rsidRDefault="006E3400" w:rsidP="006E3400">
      <w:pPr>
        <w:tabs>
          <w:tab w:val="left" w:pos="2378"/>
        </w:tabs>
        <w:spacing w:after="0" w:line="259" w:lineRule="auto"/>
        <w:ind w:left="0" w:firstLine="0"/>
        <w:jc w:val="left"/>
      </w:pPr>
      <w:r>
        <w:tab/>
      </w:r>
    </w:p>
    <w:p w14:paraId="211FE392" w14:textId="77777777" w:rsidR="0046480D" w:rsidRDefault="00C52226">
      <w:pPr>
        <w:spacing w:after="0" w:line="259" w:lineRule="auto"/>
        <w:ind w:left="265"/>
        <w:jc w:val="left"/>
      </w:pPr>
      <w:r>
        <w:rPr>
          <w:b/>
        </w:rPr>
        <w:t xml:space="preserve">EDUCATION </w:t>
      </w:r>
    </w:p>
    <w:p w14:paraId="5F6A2D15" w14:textId="54FB62EA" w:rsidR="0046480D" w:rsidRDefault="00C52226" w:rsidP="00D44525">
      <w:pPr>
        <w:spacing w:after="0" w:line="259" w:lineRule="auto"/>
        <w:ind w:right="-735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1FC1C5B" wp14:editId="6FD8D39B">
                <wp:extent cx="7023100" cy="6350"/>
                <wp:effectExtent l="0" t="0" r="0" b="0"/>
                <wp:docPr id="4355" name="Group 4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6350"/>
                          <a:chOff x="0" y="0"/>
                          <a:chExt cx="7023100" cy="6350"/>
                        </a:xfrm>
                      </wpg:grpSpPr>
                      <wps:wsp>
                        <wps:cNvPr id="452" name="Shape 452"/>
                        <wps:cNvSpPr/>
                        <wps:spPr>
                          <a:xfrm>
                            <a:off x="0" y="0"/>
                            <a:ext cx="702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00">
                                <a:moveTo>
                                  <a:pt x="0" y="0"/>
                                </a:moveTo>
                                <a:lnTo>
                                  <a:pt x="70231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5" style="width:553pt;height:0.5pt;mso-position-horizontal-relative:char;mso-position-vertical-relative:line" coordsize="70231,63">
                <v:shape id="Shape 452" style="position:absolute;width:70231;height:0;left:0;top:0;" coordsize="7023100,0" path="m0,0l702310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7505EB1" w14:textId="77777777" w:rsidR="0046480D" w:rsidRDefault="00C52226">
      <w:pPr>
        <w:spacing w:after="0" w:line="259" w:lineRule="auto"/>
        <w:ind w:left="265"/>
        <w:jc w:val="left"/>
      </w:pPr>
      <w:r>
        <w:rPr>
          <w:b/>
        </w:rPr>
        <w:t xml:space="preserve">Master of Public Health- Epidemiology | September 2019- Present </w:t>
      </w:r>
    </w:p>
    <w:p w14:paraId="314D5A88" w14:textId="77777777" w:rsidR="0046480D" w:rsidRDefault="00C52226">
      <w:r>
        <w:t xml:space="preserve">Columbia University Mailman School of Public Health </w:t>
      </w:r>
    </w:p>
    <w:p w14:paraId="2A5D86B6" w14:textId="77777777" w:rsidR="00CC458A" w:rsidRDefault="00C52226">
      <w:pPr>
        <w:ind w:right="4018"/>
      </w:pPr>
      <w:r>
        <w:t xml:space="preserve">Certificate – Applied Biostatistics and Public Health Data Science </w:t>
      </w:r>
    </w:p>
    <w:p w14:paraId="7F96F004" w14:textId="2DB24067" w:rsidR="0046480D" w:rsidRDefault="00C52226">
      <w:pPr>
        <w:ind w:right="4018"/>
      </w:pPr>
      <w:r>
        <w:t>Grade Point Average (GPA) 3.9</w:t>
      </w:r>
      <w:r w:rsidR="00CC458A">
        <w:t>8</w:t>
      </w:r>
      <w:r>
        <w:t xml:space="preserve">/4.00. </w:t>
      </w:r>
    </w:p>
    <w:p w14:paraId="5C82B6C6" w14:textId="77777777" w:rsidR="0046480D" w:rsidRDefault="00C52226">
      <w:pPr>
        <w:spacing w:after="0" w:line="259" w:lineRule="auto"/>
        <w:ind w:left="270" w:firstLine="0"/>
        <w:jc w:val="left"/>
      </w:pPr>
      <w:r>
        <w:t xml:space="preserve"> </w:t>
      </w:r>
    </w:p>
    <w:p w14:paraId="1DAAA45F" w14:textId="77777777" w:rsidR="0046480D" w:rsidRDefault="00C52226">
      <w:pPr>
        <w:spacing w:after="0" w:line="259" w:lineRule="auto"/>
        <w:ind w:left="265"/>
        <w:jc w:val="left"/>
      </w:pPr>
      <w:r>
        <w:rPr>
          <w:b/>
        </w:rPr>
        <w:t xml:space="preserve">Bachelor of Science- Biotechnology | June 2013- May 2016 </w:t>
      </w:r>
    </w:p>
    <w:p w14:paraId="36708D34" w14:textId="77777777" w:rsidR="0046480D" w:rsidRDefault="00C52226">
      <w:proofErr w:type="spellStart"/>
      <w:r>
        <w:t>Kishinchand</w:t>
      </w:r>
      <w:proofErr w:type="spellEnd"/>
      <w:r>
        <w:t xml:space="preserve"> </w:t>
      </w:r>
      <w:proofErr w:type="spellStart"/>
      <w:r>
        <w:t>Chellaram</w:t>
      </w:r>
      <w:proofErr w:type="spellEnd"/>
      <w:r>
        <w:t xml:space="preserve"> College | University of Mumbai, India </w:t>
      </w:r>
    </w:p>
    <w:p w14:paraId="347EFB6A" w14:textId="77777777" w:rsidR="00CC458A" w:rsidRDefault="00C52226">
      <w:pPr>
        <w:ind w:right="3273"/>
      </w:pPr>
      <w:r>
        <w:t>Major- Biotechnology | Minor - Life Sciences and Environmental Biology.</w:t>
      </w:r>
    </w:p>
    <w:p w14:paraId="16E5E2AE" w14:textId="067FD300" w:rsidR="0046480D" w:rsidRDefault="00C52226">
      <w:pPr>
        <w:ind w:right="3273"/>
      </w:pPr>
      <w:r>
        <w:t xml:space="preserve">Grade Point Average (GPA) 3.80/4.00. </w:t>
      </w:r>
    </w:p>
    <w:p w14:paraId="0C35D813" w14:textId="77777777" w:rsidR="0046480D" w:rsidRDefault="00C52226">
      <w:pPr>
        <w:spacing w:after="0" w:line="259" w:lineRule="auto"/>
        <w:ind w:left="0" w:firstLine="0"/>
        <w:jc w:val="left"/>
      </w:pPr>
      <w:r>
        <w:t xml:space="preserve"> </w:t>
      </w:r>
    </w:p>
    <w:p w14:paraId="3CB255A3" w14:textId="645DAE24" w:rsidR="0046480D" w:rsidRDefault="00C52226" w:rsidP="00D44525">
      <w:pPr>
        <w:spacing w:after="0" w:line="259" w:lineRule="auto"/>
        <w:ind w:left="265"/>
        <w:jc w:val="left"/>
      </w:pPr>
      <w:r>
        <w:rPr>
          <w:b/>
        </w:rPr>
        <w:t xml:space="preserve">PROFESSIONAL EXPERIENCE </w:t>
      </w:r>
      <w:r>
        <w:rPr>
          <w:noProof/>
        </w:rPr>
        <mc:AlternateContent>
          <mc:Choice Requires="wpg">
            <w:drawing>
              <wp:inline distT="0" distB="0" distL="0" distR="0" wp14:anchorId="6C3AC795" wp14:editId="26079D16">
                <wp:extent cx="7086600" cy="6350"/>
                <wp:effectExtent l="0" t="0" r="0" b="0"/>
                <wp:docPr id="4356" name="Group 4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6350"/>
                          <a:chOff x="0" y="0"/>
                          <a:chExt cx="7086600" cy="6350"/>
                        </a:xfrm>
                      </wpg:grpSpPr>
                      <wps:wsp>
                        <wps:cNvPr id="453" name="Shape 453"/>
                        <wps:cNvSpPr/>
                        <wps:spPr>
                          <a:xfrm>
                            <a:off x="0" y="0"/>
                            <a:ext cx="708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0">
                                <a:moveTo>
                                  <a:pt x="0" y="0"/>
                                </a:moveTo>
                                <a:lnTo>
                                  <a:pt x="7086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6" style="width:558pt;height:0.5pt;mso-position-horizontal-relative:char;mso-position-vertical-relative:line" coordsize="70866,63">
                <v:shape id="Shape 453" style="position:absolute;width:70866;height:0;left:0;top:0;" coordsize="7086600,0" path="m0,0l708660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08C17B9" w14:textId="77777777" w:rsidR="0046480D" w:rsidRDefault="00C52226">
      <w:pPr>
        <w:spacing w:after="0" w:line="259" w:lineRule="auto"/>
        <w:ind w:left="265"/>
        <w:jc w:val="left"/>
      </w:pPr>
      <w:r>
        <w:rPr>
          <w:b/>
        </w:rPr>
        <w:t xml:space="preserve">Senior Research Technician </w:t>
      </w:r>
    </w:p>
    <w:p w14:paraId="250EB364" w14:textId="77777777" w:rsidR="006E3400" w:rsidRDefault="00C52226">
      <w:pPr>
        <w:spacing w:after="39"/>
        <w:ind w:right="3006"/>
      </w:pPr>
      <w:r>
        <w:t xml:space="preserve">Center for Infection and Immunity | Columbia University | July 2016- Present </w:t>
      </w:r>
    </w:p>
    <w:p w14:paraId="3976CEF4" w14:textId="679A49D1" w:rsidR="0046480D" w:rsidRDefault="00C52226">
      <w:pPr>
        <w:spacing w:after="39"/>
        <w:ind w:right="3006"/>
      </w:pPr>
      <w:r>
        <w:t xml:space="preserve">New York, NY </w:t>
      </w:r>
    </w:p>
    <w:p w14:paraId="1DEE29B4" w14:textId="77777777" w:rsidR="0046480D" w:rsidRDefault="00C52226">
      <w:pPr>
        <w:numPr>
          <w:ilvl w:val="0"/>
          <w:numId w:val="1"/>
        </w:numPr>
        <w:spacing w:after="38"/>
        <w:ind w:hanging="270"/>
      </w:pPr>
      <w:r>
        <w:t xml:space="preserve">Responsible for development and optimization of a Peptide Array and a Peptide ELISA focused on finding discriminatory and distinguishing peptides for diagnosis of Zika Virus Infection. </w:t>
      </w:r>
    </w:p>
    <w:p w14:paraId="54C2A7AB" w14:textId="77777777" w:rsidR="0046480D" w:rsidRDefault="00C52226">
      <w:pPr>
        <w:numPr>
          <w:ilvl w:val="0"/>
          <w:numId w:val="1"/>
        </w:numPr>
        <w:spacing w:after="38"/>
        <w:ind w:hanging="270"/>
      </w:pPr>
      <w:r>
        <w:t>Assisted with the development of CII-</w:t>
      </w:r>
      <w:proofErr w:type="spellStart"/>
      <w:r>
        <w:t>ArboViroPlex</w:t>
      </w:r>
      <w:proofErr w:type="spellEnd"/>
      <w:r>
        <w:t xml:space="preserve"> </w:t>
      </w:r>
      <w:proofErr w:type="spellStart"/>
      <w:r>
        <w:t>rRT</w:t>
      </w:r>
      <w:proofErr w:type="spellEnd"/>
      <w:r>
        <w:t xml:space="preserve">-PCR Assay for the diagnosis of Zika Virus Infection which was issued an Emergency User Authorization (EUA) by the FDA. </w:t>
      </w:r>
    </w:p>
    <w:p w14:paraId="4AA73DB0" w14:textId="77777777" w:rsidR="0046480D" w:rsidRDefault="00C52226">
      <w:pPr>
        <w:numPr>
          <w:ilvl w:val="0"/>
          <w:numId w:val="1"/>
        </w:numPr>
        <w:spacing w:after="38"/>
        <w:ind w:hanging="270"/>
      </w:pPr>
      <w:r>
        <w:t xml:space="preserve">Currently working on identification and characterization of pathogens responsible for the cause of Acute Encephalitis Syndrome (AES) in India. </w:t>
      </w:r>
    </w:p>
    <w:p w14:paraId="0CF6585D" w14:textId="77777777" w:rsidR="0046480D" w:rsidRDefault="00C52226">
      <w:pPr>
        <w:numPr>
          <w:ilvl w:val="0"/>
          <w:numId w:val="1"/>
        </w:numPr>
        <w:spacing w:after="38"/>
        <w:ind w:hanging="270"/>
      </w:pPr>
      <w:r>
        <w:t xml:space="preserve">Worked on complete Genome Sequencing using </w:t>
      </w:r>
      <w:proofErr w:type="spellStart"/>
      <w:r>
        <w:t>VirCapSeq</w:t>
      </w:r>
      <w:proofErr w:type="spellEnd"/>
      <w:r>
        <w:t xml:space="preserve">-VERT platform and Phylogenetic Analysis of viral isolates including Newcastle Disease Virus from Iraq, Human Rotaviruses from Lebanon, and Chikungunya Viruses Isolate from Brazil. </w:t>
      </w:r>
    </w:p>
    <w:p w14:paraId="1F728752" w14:textId="7670C11B" w:rsidR="0046480D" w:rsidRDefault="00C52226" w:rsidP="008111DF">
      <w:pPr>
        <w:numPr>
          <w:ilvl w:val="0"/>
          <w:numId w:val="1"/>
        </w:numPr>
        <w:ind w:hanging="270"/>
      </w:pPr>
      <w:r>
        <w:t>Developed and optimized serological diagnostic assays including a Peptide Array and a Peptide ELISA for SARS-CoV-</w:t>
      </w:r>
      <w:r w:rsidR="008111DF">
        <w:t>2</w:t>
      </w:r>
    </w:p>
    <w:p w14:paraId="07BE154E" w14:textId="77777777" w:rsidR="0046480D" w:rsidRDefault="00C52226">
      <w:pPr>
        <w:numPr>
          <w:ilvl w:val="0"/>
          <w:numId w:val="1"/>
        </w:numPr>
        <w:spacing w:after="38"/>
        <w:ind w:hanging="270"/>
      </w:pPr>
      <w:r>
        <w:t xml:space="preserve">Assisted with identification and characterization of Enteroviruses as the cause of CNS infections including Acute Flaccid Myelitis (AFM)  </w:t>
      </w:r>
    </w:p>
    <w:p w14:paraId="224413E0" w14:textId="77777777" w:rsidR="0046480D" w:rsidRDefault="00C52226">
      <w:pPr>
        <w:numPr>
          <w:ilvl w:val="0"/>
          <w:numId w:val="1"/>
        </w:numPr>
        <w:ind w:hanging="270"/>
      </w:pPr>
      <w:r>
        <w:t xml:space="preserve">Currently working on understanding the role of viral infections in patients with MECFS and Alzheimer’s disease. </w:t>
      </w:r>
    </w:p>
    <w:p w14:paraId="28BB373E" w14:textId="77777777" w:rsidR="0046480D" w:rsidRDefault="00C52226">
      <w:pPr>
        <w:numPr>
          <w:ilvl w:val="0"/>
          <w:numId w:val="1"/>
        </w:numPr>
        <w:ind w:hanging="270"/>
      </w:pPr>
      <w:r>
        <w:t xml:space="preserve">Tasked with designing figures and assist in writing manuscripts. </w:t>
      </w:r>
    </w:p>
    <w:p w14:paraId="31430836" w14:textId="77777777" w:rsidR="0046480D" w:rsidRDefault="00C52226">
      <w:pPr>
        <w:numPr>
          <w:ilvl w:val="0"/>
          <w:numId w:val="1"/>
        </w:numPr>
        <w:ind w:hanging="270"/>
      </w:pPr>
      <w:r>
        <w:t xml:space="preserve">Responsible for sample inventory, storage, and management employed in laboratory research. </w:t>
      </w:r>
    </w:p>
    <w:p w14:paraId="739ECC6A" w14:textId="77777777" w:rsidR="0046480D" w:rsidRDefault="00C52226">
      <w:pPr>
        <w:spacing w:after="0" w:line="259" w:lineRule="auto"/>
        <w:ind w:left="0" w:firstLine="0"/>
        <w:jc w:val="left"/>
      </w:pPr>
      <w:r>
        <w:t xml:space="preserve"> </w:t>
      </w:r>
    </w:p>
    <w:p w14:paraId="2E1505AE" w14:textId="77777777" w:rsidR="0046480D" w:rsidRDefault="00C52226">
      <w:pPr>
        <w:spacing w:after="0" w:line="259" w:lineRule="auto"/>
        <w:ind w:left="265"/>
        <w:jc w:val="left"/>
      </w:pPr>
      <w:r>
        <w:rPr>
          <w:b/>
        </w:rPr>
        <w:t xml:space="preserve">SKILLS HIGHLIGHT </w:t>
      </w:r>
    </w:p>
    <w:p w14:paraId="7787B1C2" w14:textId="78EE9608" w:rsidR="0046480D" w:rsidRDefault="00C52226" w:rsidP="00D44525">
      <w:pPr>
        <w:spacing w:after="0" w:line="259" w:lineRule="auto"/>
        <w:ind w:right="-735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D221582" wp14:editId="6F9FDEC3">
                <wp:extent cx="7023100" cy="6350"/>
                <wp:effectExtent l="0" t="0" r="0" b="0"/>
                <wp:docPr id="4357" name="Group 4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6350"/>
                          <a:chOff x="0" y="0"/>
                          <a:chExt cx="7023100" cy="6350"/>
                        </a:xfrm>
                      </wpg:grpSpPr>
                      <wps:wsp>
                        <wps:cNvPr id="454" name="Shape 454"/>
                        <wps:cNvSpPr/>
                        <wps:spPr>
                          <a:xfrm>
                            <a:off x="0" y="0"/>
                            <a:ext cx="702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00">
                                <a:moveTo>
                                  <a:pt x="0" y="0"/>
                                </a:moveTo>
                                <a:lnTo>
                                  <a:pt x="70231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7" style="width:553pt;height:0.5pt;mso-position-horizontal-relative:char;mso-position-vertical-relative:line" coordsize="70231,63">
                <v:shape id="Shape 454" style="position:absolute;width:70231;height:0;left:0;top:0;" coordsize="7023100,0" path="m0,0l702310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BBB5F9B" w14:textId="77777777" w:rsidR="0046480D" w:rsidRDefault="00C52226">
      <w:pPr>
        <w:spacing w:after="0" w:line="259" w:lineRule="auto"/>
        <w:ind w:left="265"/>
        <w:jc w:val="left"/>
      </w:pPr>
      <w:r>
        <w:rPr>
          <w:b/>
        </w:rPr>
        <w:t xml:space="preserve">Laboratory Skills: </w:t>
      </w:r>
    </w:p>
    <w:p w14:paraId="4E4F8829" w14:textId="77777777" w:rsidR="0046480D" w:rsidRDefault="00C52226">
      <w:r>
        <w:t xml:space="preserve">DNA and RNA Extraction, Isolation, and Purification, Bacterial and Viral culture and cloning, Conventional and </w:t>
      </w:r>
      <w:proofErr w:type="spellStart"/>
      <w:r>
        <w:t>RTqPCR</w:t>
      </w:r>
      <w:proofErr w:type="spellEnd"/>
      <w:r>
        <w:t xml:space="preserve">, Immunological Assays- Peptide Array, ELISA, and In-situ hybridization. </w:t>
      </w:r>
    </w:p>
    <w:p w14:paraId="5C277857" w14:textId="77777777" w:rsidR="0046480D" w:rsidRDefault="00C52226">
      <w:pPr>
        <w:spacing w:after="0" w:line="259" w:lineRule="auto"/>
        <w:ind w:left="270" w:firstLine="0"/>
        <w:jc w:val="left"/>
      </w:pPr>
      <w:r>
        <w:t xml:space="preserve"> </w:t>
      </w:r>
    </w:p>
    <w:p w14:paraId="71408D93" w14:textId="77777777" w:rsidR="0046480D" w:rsidRDefault="00C52226">
      <w:pPr>
        <w:spacing w:after="0" w:line="259" w:lineRule="auto"/>
        <w:ind w:left="265"/>
        <w:jc w:val="left"/>
      </w:pPr>
      <w:r>
        <w:rPr>
          <w:b/>
        </w:rPr>
        <w:t xml:space="preserve">Statistical and Data Analysis: </w:t>
      </w:r>
    </w:p>
    <w:p w14:paraId="548436CA" w14:textId="77777777" w:rsidR="0046480D" w:rsidRDefault="00C52226">
      <w:pPr>
        <w:numPr>
          <w:ilvl w:val="0"/>
          <w:numId w:val="1"/>
        </w:numPr>
        <w:ind w:hanging="270"/>
      </w:pPr>
      <w:r>
        <w:t xml:space="preserve">Data Management: querying, filtering, extraction, visualization, managing datasets with missing values. </w:t>
      </w:r>
    </w:p>
    <w:p w14:paraId="6F36BCEB" w14:textId="77777777" w:rsidR="0046480D" w:rsidRDefault="00C52226">
      <w:pPr>
        <w:numPr>
          <w:ilvl w:val="0"/>
          <w:numId w:val="1"/>
        </w:numPr>
        <w:ind w:hanging="270"/>
      </w:pPr>
      <w:r>
        <w:t xml:space="preserve">Proficient with Microsoft Office. </w:t>
      </w:r>
    </w:p>
    <w:p w14:paraId="21FA85E6" w14:textId="77777777" w:rsidR="0046480D" w:rsidRDefault="00C52226">
      <w:pPr>
        <w:numPr>
          <w:ilvl w:val="0"/>
          <w:numId w:val="1"/>
        </w:numPr>
        <w:ind w:hanging="270"/>
      </w:pPr>
      <w:r>
        <w:t xml:space="preserve">Intermediate competency in SAS. </w:t>
      </w:r>
    </w:p>
    <w:p w14:paraId="22EF8C38" w14:textId="77777777" w:rsidR="0046480D" w:rsidRDefault="00C52226">
      <w:pPr>
        <w:numPr>
          <w:ilvl w:val="0"/>
          <w:numId w:val="1"/>
        </w:numPr>
        <w:ind w:hanging="270"/>
      </w:pPr>
      <w:r>
        <w:t xml:space="preserve">Basic competency in R studio. </w:t>
      </w:r>
    </w:p>
    <w:p w14:paraId="5AE2F4A4" w14:textId="77777777" w:rsidR="0046480D" w:rsidRDefault="00C52226">
      <w:pPr>
        <w:numPr>
          <w:ilvl w:val="0"/>
          <w:numId w:val="1"/>
        </w:numPr>
        <w:ind w:hanging="270"/>
      </w:pPr>
      <w:r>
        <w:lastRenderedPageBreak/>
        <w:t xml:space="preserve">Competent with Bioinformatics Software, </w:t>
      </w:r>
      <w:proofErr w:type="spellStart"/>
      <w:r>
        <w:t>Geneious</w:t>
      </w:r>
      <w:proofErr w:type="spellEnd"/>
      <w:r>
        <w:t xml:space="preserve">, used for molecular biology and phylogenetic analysis of high throughput sequencing data. </w:t>
      </w:r>
    </w:p>
    <w:p w14:paraId="00BC938F" w14:textId="0D47AC10" w:rsidR="0046480D" w:rsidRDefault="00C52226" w:rsidP="00D44525">
      <w:pPr>
        <w:spacing w:after="0" w:line="259" w:lineRule="auto"/>
        <w:ind w:left="270" w:firstLine="0"/>
        <w:jc w:val="left"/>
      </w:pPr>
      <w:r>
        <w:t xml:space="preserve"> </w:t>
      </w:r>
      <w:r>
        <w:tab/>
        <w:t xml:space="preserve"> </w:t>
      </w:r>
    </w:p>
    <w:p w14:paraId="5D7580EE" w14:textId="77777777" w:rsidR="0046480D" w:rsidRDefault="00C52226">
      <w:pPr>
        <w:spacing w:after="0" w:line="259" w:lineRule="auto"/>
        <w:ind w:left="265"/>
        <w:jc w:val="left"/>
      </w:pPr>
      <w:r>
        <w:rPr>
          <w:b/>
        </w:rPr>
        <w:t>RESEARCH PUBLICATIONS</w:t>
      </w:r>
      <w:r>
        <w:t xml:space="preserve"> </w:t>
      </w:r>
    </w:p>
    <w:p w14:paraId="7FE01C33" w14:textId="77777777" w:rsidR="0046480D" w:rsidRDefault="00C52226">
      <w:pPr>
        <w:spacing w:after="24" w:line="259" w:lineRule="auto"/>
        <w:ind w:left="162" w:right="-104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331C411" wp14:editId="073BA94E">
                <wp:extent cx="7306946" cy="6350"/>
                <wp:effectExtent l="0" t="0" r="0" b="0"/>
                <wp:docPr id="4256" name="Group 4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946" cy="6350"/>
                          <a:chOff x="0" y="0"/>
                          <a:chExt cx="7306946" cy="6350"/>
                        </a:xfrm>
                      </wpg:grpSpPr>
                      <wps:wsp>
                        <wps:cNvPr id="665" name="Shape 665"/>
                        <wps:cNvSpPr/>
                        <wps:spPr>
                          <a:xfrm>
                            <a:off x="0" y="0"/>
                            <a:ext cx="73069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6946">
                                <a:moveTo>
                                  <a:pt x="0" y="0"/>
                                </a:moveTo>
                                <a:lnTo>
                                  <a:pt x="7306946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56" style="width:575.35pt;height:0.5pt;mso-position-horizontal-relative:char;mso-position-vertical-relative:line" coordsize="73069,63">
                <v:shape id="Shape 665" style="position:absolute;width:73069;height:0;left:0;top:0;" coordsize="7306946,0" path="m0,0l7306946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3A6D1DA" w14:textId="77777777" w:rsidR="0046480D" w:rsidRDefault="00C52226">
      <w:pPr>
        <w:numPr>
          <w:ilvl w:val="0"/>
          <w:numId w:val="1"/>
        </w:numPr>
        <w:ind w:hanging="270"/>
      </w:pPr>
      <w:r>
        <w:t xml:space="preserve">Mishra N, Huang X, Joshi S, Guo C, Ng J, </w:t>
      </w:r>
      <w:r>
        <w:rPr>
          <w:b/>
        </w:rPr>
        <w:t>Thakkar R</w:t>
      </w:r>
      <w:r>
        <w:t xml:space="preserve">, Wu Y, Dong X, Li Q, </w:t>
      </w:r>
      <w:proofErr w:type="spellStart"/>
      <w:r>
        <w:t>Pinapati</w:t>
      </w:r>
      <w:proofErr w:type="spellEnd"/>
      <w:r>
        <w:t xml:space="preserve"> RS, Sullivan E, </w:t>
      </w:r>
      <w:proofErr w:type="spellStart"/>
      <w:r>
        <w:t>Caciula</w:t>
      </w:r>
      <w:proofErr w:type="spellEnd"/>
      <w:r>
        <w:t xml:space="preserve"> A, </w:t>
      </w:r>
      <w:proofErr w:type="spellStart"/>
      <w:r>
        <w:t>Tokarz</w:t>
      </w:r>
      <w:proofErr w:type="spellEnd"/>
      <w:r>
        <w:t xml:space="preserve"> R, </w:t>
      </w:r>
      <w:proofErr w:type="spellStart"/>
      <w:r>
        <w:t>Briese</w:t>
      </w:r>
      <w:proofErr w:type="spellEnd"/>
      <w:r>
        <w:t xml:space="preserve"> T, Lu J, Lipkin WI. Immunoreactive peptide maps of SARS-CoV-2. </w:t>
      </w:r>
      <w:proofErr w:type="spellStart"/>
      <w:r>
        <w:t>Commun</w:t>
      </w:r>
      <w:proofErr w:type="spellEnd"/>
      <w:r>
        <w:t xml:space="preserve"> Biol. 2021 Feb 12;4(1):225. </w:t>
      </w:r>
      <w:proofErr w:type="spellStart"/>
      <w:r>
        <w:t>doi</w:t>
      </w:r>
      <w:proofErr w:type="spellEnd"/>
      <w:r>
        <w:t xml:space="preserve">: </w:t>
      </w:r>
    </w:p>
    <w:p w14:paraId="41CD85D1" w14:textId="77777777" w:rsidR="0046480D" w:rsidRDefault="00C52226">
      <w:r>
        <w:t xml:space="preserve">10.1038/s42003-021-01743-9. PMID: 33580175; PMCID: PMC7881038. </w:t>
      </w:r>
    </w:p>
    <w:p w14:paraId="049372CE" w14:textId="77777777" w:rsidR="0046480D" w:rsidRDefault="00C52226">
      <w:pPr>
        <w:spacing w:after="24" w:line="259" w:lineRule="auto"/>
        <w:ind w:left="90" w:firstLine="0"/>
        <w:jc w:val="left"/>
      </w:pPr>
      <w:r>
        <w:t xml:space="preserve"> </w:t>
      </w:r>
    </w:p>
    <w:p w14:paraId="27A7EE14" w14:textId="77777777" w:rsidR="0046480D" w:rsidRDefault="00C52226">
      <w:pPr>
        <w:numPr>
          <w:ilvl w:val="0"/>
          <w:numId w:val="1"/>
        </w:numPr>
        <w:ind w:hanging="270"/>
      </w:pPr>
      <w:r>
        <w:t xml:space="preserve">Mishra N, </w:t>
      </w:r>
      <w:r>
        <w:rPr>
          <w:b/>
        </w:rPr>
        <w:t>Thakkar R</w:t>
      </w:r>
      <w:r>
        <w:t xml:space="preserve">, Ng J, Lipkin WI. Zika Virus Peptide ELISA (ZIKV-NS2B-Concat ELISA) for Detection of IgG Antibodies to Zika Virus Infection. Methods Mol Biol. 2020;2142:113-122. </w:t>
      </w:r>
      <w:proofErr w:type="spellStart"/>
      <w:r>
        <w:t>doi</w:t>
      </w:r>
      <w:proofErr w:type="spellEnd"/>
      <w:r>
        <w:t xml:space="preserve">: 10.1007/978-1-0716-0581-3_10. PMID: 32367363. </w:t>
      </w:r>
    </w:p>
    <w:p w14:paraId="7065334E" w14:textId="77777777" w:rsidR="0046480D" w:rsidRDefault="00C52226">
      <w:pPr>
        <w:spacing w:after="24" w:line="259" w:lineRule="auto"/>
        <w:ind w:left="90" w:firstLine="0"/>
        <w:jc w:val="left"/>
      </w:pPr>
      <w:r>
        <w:t xml:space="preserve"> </w:t>
      </w:r>
    </w:p>
    <w:p w14:paraId="756E2075" w14:textId="77777777" w:rsidR="0046480D" w:rsidRDefault="00C52226">
      <w:pPr>
        <w:numPr>
          <w:ilvl w:val="0"/>
          <w:numId w:val="1"/>
        </w:numPr>
        <w:ind w:hanging="270"/>
      </w:pPr>
      <w:r>
        <w:t xml:space="preserve">Goldstein T, </w:t>
      </w:r>
      <w:proofErr w:type="spellStart"/>
      <w:r>
        <w:t>Belaganahalli</w:t>
      </w:r>
      <w:proofErr w:type="spellEnd"/>
      <w:r>
        <w:t xml:space="preserve"> MN, </w:t>
      </w:r>
      <w:proofErr w:type="spellStart"/>
      <w:r>
        <w:t>Syaluha</w:t>
      </w:r>
      <w:proofErr w:type="spellEnd"/>
      <w:r>
        <w:t xml:space="preserve"> EK, </w:t>
      </w:r>
      <w:proofErr w:type="spellStart"/>
      <w:r>
        <w:t>Lukusa</w:t>
      </w:r>
      <w:proofErr w:type="spellEnd"/>
      <w:r>
        <w:t xml:space="preserve"> JK, Greig DJ, Anthony SJ, Tremeau-</w:t>
      </w:r>
      <w:proofErr w:type="spellStart"/>
      <w:r>
        <w:t>Bravard</w:t>
      </w:r>
      <w:proofErr w:type="spellEnd"/>
      <w:r>
        <w:t xml:space="preserve"> A, </w:t>
      </w:r>
      <w:r>
        <w:rPr>
          <w:b/>
        </w:rPr>
        <w:t>Thakkar R</w:t>
      </w:r>
      <w:r>
        <w:t xml:space="preserve">, </w:t>
      </w:r>
      <w:proofErr w:type="spellStart"/>
      <w:r>
        <w:t>Caciula</w:t>
      </w:r>
      <w:proofErr w:type="spellEnd"/>
      <w:r>
        <w:t xml:space="preserve"> </w:t>
      </w:r>
    </w:p>
    <w:p w14:paraId="1CE022B7" w14:textId="77777777" w:rsidR="0046480D" w:rsidRDefault="00C52226">
      <w:r>
        <w:t xml:space="preserve">A, Mishra N, Lipkin WI, </w:t>
      </w:r>
      <w:proofErr w:type="spellStart"/>
      <w:r>
        <w:t>Dhanota</w:t>
      </w:r>
      <w:proofErr w:type="spellEnd"/>
      <w:r>
        <w:t xml:space="preserve"> JK, Smith BR, Ontiveros VM, Randhawa N, Cranfield M, Johnson CK, </w:t>
      </w:r>
      <w:proofErr w:type="spellStart"/>
      <w:r>
        <w:t>Gilardi</w:t>
      </w:r>
      <w:proofErr w:type="spellEnd"/>
      <w:r>
        <w:t xml:space="preserve"> KV, </w:t>
      </w:r>
      <w:proofErr w:type="spellStart"/>
      <w:r>
        <w:t>Mazet</w:t>
      </w:r>
      <w:proofErr w:type="spellEnd"/>
      <w:r>
        <w:t xml:space="preserve"> JAK. Spillover of ebolaviruses into people in eastern Democratic Republic of Congo prior to the 2018 Ebola virus disease outbreak. One Health Outlook. 2020;2(1):21. </w:t>
      </w:r>
      <w:proofErr w:type="spellStart"/>
      <w:r>
        <w:t>doi</w:t>
      </w:r>
      <w:proofErr w:type="spellEnd"/>
      <w:r>
        <w:t xml:space="preserve">: 10.1186/s42522-020-00028-1. </w:t>
      </w:r>
      <w:proofErr w:type="spellStart"/>
      <w:r>
        <w:t>Epub</w:t>
      </w:r>
      <w:proofErr w:type="spellEnd"/>
      <w:r>
        <w:t xml:space="preserve"> 2020 Nov 4. PMID: 33169111; PMCID: PMC7609368. </w:t>
      </w:r>
    </w:p>
    <w:p w14:paraId="5DA083D8" w14:textId="77777777" w:rsidR="0046480D" w:rsidRDefault="00C52226">
      <w:pPr>
        <w:spacing w:after="24" w:line="259" w:lineRule="auto"/>
        <w:ind w:left="90" w:firstLine="0"/>
        <w:jc w:val="left"/>
      </w:pPr>
      <w:r>
        <w:t xml:space="preserve"> </w:t>
      </w:r>
    </w:p>
    <w:p w14:paraId="71EEEC9A" w14:textId="77777777" w:rsidR="0046480D" w:rsidRDefault="00C52226">
      <w:pPr>
        <w:numPr>
          <w:ilvl w:val="0"/>
          <w:numId w:val="1"/>
        </w:numPr>
        <w:ind w:hanging="270"/>
      </w:pPr>
      <w:proofErr w:type="spellStart"/>
      <w:r>
        <w:t>Reslan</w:t>
      </w:r>
      <w:proofErr w:type="spellEnd"/>
      <w:r>
        <w:t xml:space="preserve"> L, Mishra N, </w:t>
      </w:r>
      <w:proofErr w:type="spellStart"/>
      <w:r>
        <w:t>Finianos</w:t>
      </w:r>
      <w:proofErr w:type="spellEnd"/>
      <w:r>
        <w:t xml:space="preserve"> M, </w:t>
      </w:r>
      <w:proofErr w:type="spellStart"/>
      <w:r>
        <w:t>Zakka</w:t>
      </w:r>
      <w:proofErr w:type="spellEnd"/>
      <w:r>
        <w:t xml:space="preserve"> K, </w:t>
      </w:r>
      <w:proofErr w:type="spellStart"/>
      <w:r>
        <w:t>Azakir</w:t>
      </w:r>
      <w:proofErr w:type="spellEnd"/>
      <w:r>
        <w:t xml:space="preserve"> A, Guo C, </w:t>
      </w:r>
      <w:r>
        <w:rPr>
          <w:b/>
        </w:rPr>
        <w:t>Thakkar R</w:t>
      </w:r>
      <w:r>
        <w:t xml:space="preserve">, </w:t>
      </w:r>
      <w:proofErr w:type="spellStart"/>
      <w:r>
        <w:t>Dbaibo</w:t>
      </w:r>
      <w:proofErr w:type="spellEnd"/>
      <w:r>
        <w:t xml:space="preserve"> G, Lipkin WI, </w:t>
      </w:r>
      <w:proofErr w:type="spellStart"/>
      <w:r>
        <w:t>Zaraket</w:t>
      </w:r>
      <w:proofErr w:type="spellEnd"/>
      <w:r>
        <w:t xml:space="preserve"> H. The origins of G12P[6] rotavirus strains detected in Lebanon. J Gen </w:t>
      </w:r>
      <w:proofErr w:type="spellStart"/>
      <w:r>
        <w:t>Virol</w:t>
      </w:r>
      <w:proofErr w:type="spellEnd"/>
      <w:r>
        <w:t xml:space="preserve">. 2020 Dec 17. </w:t>
      </w:r>
      <w:proofErr w:type="spellStart"/>
      <w:r>
        <w:t>doi</w:t>
      </w:r>
      <w:proofErr w:type="spellEnd"/>
      <w:r>
        <w:t xml:space="preserve">: 10.1099/jgv.0.001535. </w:t>
      </w:r>
      <w:proofErr w:type="spellStart"/>
      <w:r>
        <w:t>Epub</w:t>
      </w:r>
      <w:proofErr w:type="spellEnd"/>
      <w:r>
        <w:t xml:space="preserve"> ahead of print. PMID: 33331815. </w:t>
      </w:r>
    </w:p>
    <w:p w14:paraId="75F7C8CD" w14:textId="77777777" w:rsidR="0046480D" w:rsidRDefault="00C52226">
      <w:pPr>
        <w:spacing w:after="24" w:line="259" w:lineRule="auto"/>
        <w:ind w:left="90" w:firstLine="0"/>
        <w:jc w:val="left"/>
      </w:pPr>
      <w:r>
        <w:t xml:space="preserve"> </w:t>
      </w:r>
    </w:p>
    <w:p w14:paraId="3DDF603A" w14:textId="77777777" w:rsidR="0046480D" w:rsidRDefault="00C52226">
      <w:pPr>
        <w:numPr>
          <w:ilvl w:val="0"/>
          <w:numId w:val="1"/>
        </w:numPr>
        <w:ind w:hanging="270"/>
      </w:pPr>
      <w:r>
        <w:t xml:space="preserve">Mishra N, </w:t>
      </w:r>
      <w:proofErr w:type="spellStart"/>
      <w:r>
        <w:t>Reslan</w:t>
      </w:r>
      <w:proofErr w:type="spellEnd"/>
      <w:r>
        <w:t xml:space="preserve"> L, El-Husseini M, </w:t>
      </w:r>
      <w:proofErr w:type="spellStart"/>
      <w:r>
        <w:t>Raoof</w:t>
      </w:r>
      <w:proofErr w:type="spellEnd"/>
      <w:r>
        <w:t xml:space="preserve"> H, </w:t>
      </w:r>
      <w:proofErr w:type="spellStart"/>
      <w:r>
        <w:t>Finianos</w:t>
      </w:r>
      <w:proofErr w:type="spellEnd"/>
      <w:r>
        <w:t xml:space="preserve"> M, Guo C, </w:t>
      </w:r>
      <w:r>
        <w:rPr>
          <w:b/>
        </w:rPr>
        <w:t>Thakkar R</w:t>
      </w:r>
      <w:r>
        <w:t xml:space="preserve">, </w:t>
      </w:r>
      <w:proofErr w:type="spellStart"/>
      <w:r>
        <w:t>Inati</w:t>
      </w:r>
      <w:proofErr w:type="spellEnd"/>
      <w:r>
        <w:t xml:space="preserve"> A, </w:t>
      </w:r>
      <w:proofErr w:type="spellStart"/>
      <w:r>
        <w:t>Dbaibo</w:t>
      </w:r>
      <w:proofErr w:type="spellEnd"/>
      <w:r>
        <w:t xml:space="preserve"> G, Lipkin WI, </w:t>
      </w:r>
      <w:proofErr w:type="spellStart"/>
      <w:r>
        <w:t>Zaraket</w:t>
      </w:r>
      <w:proofErr w:type="spellEnd"/>
      <w:r>
        <w:t xml:space="preserve"> H. Full genome characterization of human G3P[6] and G3P[9] rotavirus strains in Lebanon. Infect Genet </w:t>
      </w:r>
      <w:proofErr w:type="spellStart"/>
      <w:r>
        <w:t>Evol</w:t>
      </w:r>
      <w:proofErr w:type="spellEnd"/>
      <w:r>
        <w:t xml:space="preserve">. 2020 Mar;78:104133. </w:t>
      </w:r>
      <w:proofErr w:type="spellStart"/>
      <w:r>
        <w:t>doi</w:t>
      </w:r>
      <w:proofErr w:type="spellEnd"/>
      <w:r>
        <w:t xml:space="preserve">: 10.1016/j.meegid.2019.104133. </w:t>
      </w:r>
      <w:proofErr w:type="spellStart"/>
      <w:r>
        <w:t>Epub</w:t>
      </w:r>
      <w:proofErr w:type="spellEnd"/>
      <w:r>
        <w:t xml:space="preserve"> 2019 Dec 5. PMID: 31812761; PMCID: PMC6999726. </w:t>
      </w:r>
    </w:p>
    <w:p w14:paraId="3D7B5F5F" w14:textId="77777777" w:rsidR="0046480D" w:rsidRDefault="00C52226">
      <w:pPr>
        <w:spacing w:after="24" w:line="259" w:lineRule="auto"/>
        <w:ind w:left="90" w:firstLine="0"/>
        <w:jc w:val="left"/>
      </w:pPr>
      <w:r>
        <w:t xml:space="preserve"> </w:t>
      </w:r>
    </w:p>
    <w:p w14:paraId="4106923C" w14:textId="77777777" w:rsidR="0046480D" w:rsidRDefault="00C52226">
      <w:pPr>
        <w:numPr>
          <w:ilvl w:val="0"/>
          <w:numId w:val="1"/>
        </w:numPr>
        <w:ind w:hanging="270"/>
      </w:pPr>
      <w:proofErr w:type="spellStart"/>
      <w:r>
        <w:t>Tokarz</w:t>
      </w:r>
      <w:proofErr w:type="spellEnd"/>
      <w:r>
        <w:t xml:space="preserve"> R, </w:t>
      </w:r>
      <w:proofErr w:type="spellStart"/>
      <w:r>
        <w:t>Tagliafierro</w:t>
      </w:r>
      <w:proofErr w:type="spellEnd"/>
      <w:r>
        <w:t xml:space="preserve"> T, </w:t>
      </w:r>
      <w:proofErr w:type="spellStart"/>
      <w:r>
        <w:t>Caciula</w:t>
      </w:r>
      <w:proofErr w:type="spellEnd"/>
      <w:r>
        <w:t xml:space="preserve"> A, Mishra N, </w:t>
      </w:r>
      <w:r>
        <w:rPr>
          <w:b/>
        </w:rPr>
        <w:t>Thakkar R</w:t>
      </w:r>
      <w:r>
        <w:t xml:space="preserve">, Chauhan LV, Sameroff S, Delaney S, </w:t>
      </w:r>
      <w:proofErr w:type="spellStart"/>
      <w:r>
        <w:t>Wormser</w:t>
      </w:r>
      <w:proofErr w:type="spellEnd"/>
      <w:r>
        <w:t xml:space="preserve"> GP, Marques A, Lipkin WI. Identification of immunoreactive linear epitopes of Borrelia </w:t>
      </w:r>
      <w:proofErr w:type="spellStart"/>
      <w:r>
        <w:t>miyamotoi</w:t>
      </w:r>
      <w:proofErr w:type="spellEnd"/>
      <w:r>
        <w:t xml:space="preserve">. Ticks Tick Borne Dis. 2020 Jan;11(1):101314. </w:t>
      </w:r>
      <w:proofErr w:type="spellStart"/>
      <w:r>
        <w:t>doi</w:t>
      </w:r>
      <w:proofErr w:type="spellEnd"/>
      <w:r>
        <w:t xml:space="preserve">: 10.1016/j.ttbdis.2019.101314. </w:t>
      </w:r>
      <w:proofErr w:type="spellStart"/>
      <w:r>
        <w:t>Epub</w:t>
      </w:r>
      <w:proofErr w:type="spellEnd"/>
      <w:r>
        <w:t xml:space="preserve"> 2019 Oct 14. PMID: 31636001. </w:t>
      </w:r>
    </w:p>
    <w:p w14:paraId="3424CFA7" w14:textId="77777777" w:rsidR="0046480D" w:rsidRDefault="00C52226">
      <w:pPr>
        <w:spacing w:after="24" w:line="259" w:lineRule="auto"/>
        <w:ind w:left="90" w:firstLine="0"/>
        <w:jc w:val="left"/>
      </w:pPr>
      <w:r>
        <w:t xml:space="preserve"> </w:t>
      </w:r>
    </w:p>
    <w:p w14:paraId="033F1AEE" w14:textId="77777777" w:rsidR="0046480D" w:rsidRDefault="00C52226">
      <w:pPr>
        <w:numPr>
          <w:ilvl w:val="0"/>
          <w:numId w:val="1"/>
        </w:numPr>
        <w:ind w:hanging="270"/>
      </w:pPr>
      <w:r>
        <w:t xml:space="preserve">Mishra N, Ng J, </w:t>
      </w:r>
      <w:proofErr w:type="spellStart"/>
      <w:r>
        <w:t>Rakeman</w:t>
      </w:r>
      <w:proofErr w:type="spellEnd"/>
      <w:r>
        <w:t xml:space="preserve"> JL, Perry MJ, </w:t>
      </w:r>
      <w:proofErr w:type="spellStart"/>
      <w:r>
        <w:t>Centurioni</w:t>
      </w:r>
      <w:proofErr w:type="spellEnd"/>
      <w:r>
        <w:t xml:space="preserve"> DA, Dean AB, Price A, </w:t>
      </w:r>
      <w:r>
        <w:rPr>
          <w:b/>
        </w:rPr>
        <w:t>Thakkar R</w:t>
      </w:r>
      <w:r>
        <w:t xml:space="preserve">, Angus AG, Williamson P, </w:t>
      </w:r>
      <w:proofErr w:type="spellStart"/>
      <w:r>
        <w:t>Delwart</w:t>
      </w:r>
      <w:proofErr w:type="spellEnd"/>
      <w:r>
        <w:t xml:space="preserve"> E, Carrington C, </w:t>
      </w:r>
      <w:proofErr w:type="spellStart"/>
      <w:r>
        <w:t>Sahadeo</w:t>
      </w:r>
      <w:proofErr w:type="spellEnd"/>
      <w:r>
        <w:t xml:space="preserve"> N, Che X, </w:t>
      </w:r>
      <w:proofErr w:type="spellStart"/>
      <w:r>
        <w:t>Briese</w:t>
      </w:r>
      <w:proofErr w:type="spellEnd"/>
      <w:r>
        <w:t xml:space="preserve"> T, </w:t>
      </w:r>
      <w:proofErr w:type="spellStart"/>
      <w:r>
        <w:t>Tokarz</w:t>
      </w:r>
      <w:proofErr w:type="spellEnd"/>
      <w:r>
        <w:t xml:space="preserve"> R, Lipkin WI. One-step pentaplex real-time polymerase chain reaction assay for detection of zika, dengue, chikungunya, West </w:t>
      </w:r>
      <w:proofErr w:type="spellStart"/>
      <w:r>
        <w:t>nile</w:t>
      </w:r>
      <w:proofErr w:type="spellEnd"/>
      <w:r>
        <w:t xml:space="preserve"> viruses and a human housekeeping gene. J Clin </w:t>
      </w:r>
      <w:proofErr w:type="spellStart"/>
      <w:r>
        <w:t>Virol</w:t>
      </w:r>
      <w:proofErr w:type="spellEnd"/>
      <w:r>
        <w:t xml:space="preserve">. 2019 Nov;120:44-50. </w:t>
      </w:r>
      <w:proofErr w:type="spellStart"/>
      <w:r>
        <w:t>doi</w:t>
      </w:r>
      <w:proofErr w:type="spellEnd"/>
      <w:r>
        <w:t xml:space="preserve">: 10.1016/j.jcv.2019.08.011. </w:t>
      </w:r>
      <w:proofErr w:type="spellStart"/>
      <w:r>
        <w:t>Epub</w:t>
      </w:r>
      <w:proofErr w:type="spellEnd"/>
      <w:r>
        <w:t xml:space="preserve"> 2019 Sep 16. PMID: 31557664; PMCID: PMC7032662. </w:t>
      </w:r>
    </w:p>
    <w:p w14:paraId="26F8C719" w14:textId="77777777" w:rsidR="0046480D" w:rsidRDefault="00C52226">
      <w:pPr>
        <w:spacing w:after="24" w:line="259" w:lineRule="auto"/>
        <w:ind w:left="90" w:firstLine="0"/>
        <w:jc w:val="left"/>
      </w:pPr>
      <w:r>
        <w:t xml:space="preserve"> </w:t>
      </w:r>
    </w:p>
    <w:p w14:paraId="30FACB20" w14:textId="77777777" w:rsidR="0046480D" w:rsidRDefault="00C52226">
      <w:pPr>
        <w:numPr>
          <w:ilvl w:val="0"/>
          <w:numId w:val="1"/>
        </w:numPr>
        <w:ind w:hanging="270"/>
      </w:pPr>
      <w:r>
        <w:t xml:space="preserve">Mishra N, Ng TFF, Marine RL, Jain K, Ng J, </w:t>
      </w:r>
      <w:r>
        <w:rPr>
          <w:b/>
        </w:rPr>
        <w:t>Thakkar R</w:t>
      </w:r>
      <w:r>
        <w:t xml:space="preserve">, </w:t>
      </w:r>
      <w:proofErr w:type="spellStart"/>
      <w:r>
        <w:t>Caciula</w:t>
      </w:r>
      <w:proofErr w:type="spellEnd"/>
      <w:r>
        <w:t xml:space="preserve"> A, Price A, Garcia JA, Burns JC, Thakur KT, </w:t>
      </w:r>
      <w:proofErr w:type="spellStart"/>
      <w:r>
        <w:t>Hetzler</w:t>
      </w:r>
      <w:proofErr w:type="spellEnd"/>
      <w:r>
        <w:t xml:space="preserve"> KL, Routh JA, Konopka-</w:t>
      </w:r>
      <w:proofErr w:type="spellStart"/>
      <w:r>
        <w:t>Anstadt</w:t>
      </w:r>
      <w:proofErr w:type="spellEnd"/>
      <w:r>
        <w:t xml:space="preserve"> JL, Nix WA, </w:t>
      </w:r>
      <w:proofErr w:type="spellStart"/>
      <w:r>
        <w:t>Tokarz</w:t>
      </w:r>
      <w:proofErr w:type="spellEnd"/>
      <w:r>
        <w:t xml:space="preserve"> R, </w:t>
      </w:r>
      <w:proofErr w:type="spellStart"/>
      <w:r>
        <w:t>Briese</w:t>
      </w:r>
      <w:proofErr w:type="spellEnd"/>
      <w:r>
        <w:t xml:space="preserve"> T, </w:t>
      </w:r>
      <w:proofErr w:type="spellStart"/>
      <w:r>
        <w:t>Oberste</w:t>
      </w:r>
      <w:proofErr w:type="spellEnd"/>
      <w:r>
        <w:t xml:space="preserve"> MS, Lipkin WI. Antibodies to Enteroviruses in Cerebrospinal Fluid of Patients with Acute Flaccid Myelitis. mBio. 2019 Aug 13;10(4):e01903-19. </w:t>
      </w:r>
      <w:proofErr w:type="spellStart"/>
      <w:r>
        <w:t>doi</w:t>
      </w:r>
      <w:proofErr w:type="spellEnd"/>
      <w:r>
        <w:t xml:space="preserve">: </w:t>
      </w:r>
    </w:p>
    <w:p w14:paraId="204F4838" w14:textId="77777777" w:rsidR="0046480D" w:rsidRDefault="00C52226">
      <w:r>
        <w:t xml:space="preserve">10.1128/mBio.01903-19. PMID: 31409689; PMCID: PMC6692520. </w:t>
      </w:r>
    </w:p>
    <w:p w14:paraId="1C924BA9" w14:textId="77777777" w:rsidR="0046480D" w:rsidRDefault="00C52226">
      <w:pPr>
        <w:spacing w:after="24" w:line="259" w:lineRule="auto"/>
        <w:ind w:left="90" w:firstLine="0"/>
        <w:jc w:val="left"/>
      </w:pPr>
      <w:r>
        <w:t xml:space="preserve"> </w:t>
      </w:r>
    </w:p>
    <w:p w14:paraId="336D5887" w14:textId="77777777" w:rsidR="0046480D" w:rsidRDefault="00C52226">
      <w:pPr>
        <w:numPr>
          <w:ilvl w:val="0"/>
          <w:numId w:val="1"/>
        </w:numPr>
        <w:ind w:hanging="270"/>
      </w:pPr>
      <w:r>
        <w:t xml:space="preserve">Souza TML, Vieira YR, Delatorre E, Barbosa-Lima G, Luiz RLF, </w:t>
      </w:r>
      <w:proofErr w:type="spellStart"/>
      <w:r>
        <w:t>Vizzoni</w:t>
      </w:r>
      <w:proofErr w:type="spellEnd"/>
      <w:r>
        <w:t xml:space="preserve"> A, Jain K, Miranda MM, </w:t>
      </w:r>
      <w:proofErr w:type="spellStart"/>
      <w:r>
        <w:t>Bhuva</w:t>
      </w:r>
      <w:proofErr w:type="spellEnd"/>
      <w:r>
        <w:t xml:space="preserve"> N, </w:t>
      </w:r>
      <w:proofErr w:type="spellStart"/>
      <w:r>
        <w:t>Gogarten</w:t>
      </w:r>
      <w:proofErr w:type="spellEnd"/>
      <w:r>
        <w:t xml:space="preserve"> JF, Ng J, </w:t>
      </w:r>
      <w:r>
        <w:rPr>
          <w:b/>
        </w:rPr>
        <w:t>Thakkar R</w:t>
      </w:r>
      <w:r>
        <w:t xml:space="preserve">, </w:t>
      </w:r>
      <w:proofErr w:type="spellStart"/>
      <w:r>
        <w:t>Calheiros</w:t>
      </w:r>
      <w:proofErr w:type="spellEnd"/>
      <w:r>
        <w:t xml:space="preserve"> AS, Monteiro APT, </w:t>
      </w:r>
      <w:proofErr w:type="spellStart"/>
      <w:r>
        <w:t>Bozza</w:t>
      </w:r>
      <w:proofErr w:type="spellEnd"/>
      <w:r>
        <w:t xml:space="preserve"> PT, </w:t>
      </w:r>
      <w:proofErr w:type="spellStart"/>
      <w:r>
        <w:t>Bozza</w:t>
      </w:r>
      <w:proofErr w:type="spellEnd"/>
      <w:r>
        <w:t xml:space="preserve"> FA, </w:t>
      </w:r>
      <w:proofErr w:type="spellStart"/>
      <w:r>
        <w:t>Tschoeke</w:t>
      </w:r>
      <w:proofErr w:type="spellEnd"/>
      <w:r>
        <w:t xml:space="preserve"> DA, </w:t>
      </w:r>
      <w:proofErr w:type="spellStart"/>
      <w:r>
        <w:t>Leomil</w:t>
      </w:r>
      <w:proofErr w:type="spellEnd"/>
      <w:r>
        <w:t xml:space="preserve"> L, </w:t>
      </w:r>
      <w:proofErr w:type="spellStart"/>
      <w:r>
        <w:t>Mendonça</w:t>
      </w:r>
      <w:proofErr w:type="spellEnd"/>
      <w:r>
        <w:t xml:space="preserve"> MCL, Rodrigues CDDS, Torres MC, </w:t>
      </w:r>
      <w:proofErr w:type="spellStart"/>
      <w:r>
        <w:t>Filippis</w:t>
      </w:r>
      <w:proofErr w:type="spellEnd"/>
      <w:r>
        <w:t xml:space="preserve"> AMB, Nogueira RMR, Thompson FL, </w:t>
      </w:r>
      <w:proofErr w:type="spellStart"/>
      <w:r>
        <w:t>Lemos</w:t>
      </w:r>
      <w:proofErr w:type="spellEnd"/>
      <w:r>
        <w:t xml:space="preserve"> C, </w:t>
      </w:r>
      <w:proofErr w:type="spellStart"/>
      <w:r>
        <w:t>Durovni</w:t>
      </w:r>
      <w:proofErr w:type="spellEnd"/>
      <w:r>
        <w:t xml:space="preserve"> B, </w:t>
      </w:r>
      <w:proofErr w:type="spellStart"/>
      <w:r>
        <w:t>Cerbino</w:t>
      </w:r>
      <w:proofErr w:type="spellEnd"/>
      <w:r>
        <w:t xml:space="preserve">-Neto J, Morel CM, Lipkin WI, Mishra N. Emergence of the East-Central-South-African genotype of Chikungunya virus in Brazil </w:t>
      </w:r>
      <w:r>
        <w:lastRenderedPageBreak/>
        <w:t xml:space="preserve">and the city of Rio de Janeiro may have occurred years before surveillance detection. Sci Rep. 2019 Feb 26;9(1):2760. </w:t>
      </w:r>
      <w:proofErr w:type="spellStart"/>
      <w:r>
        <w:t>doi</w:t>
      </w:r>
      <w:proofErr w:type="spellEnd"/>
      <w:r>
        <w:t xml:space="preserve">: </w:t>
      </w:r>
    </w:p>
    <w:p w14:paraId="04EA0D7C" w14:textId="77777777" w:rsidR="0046480D" w:rsidRDefault="00C52226">
      <w:r>
        <w:t xml:space="preserve">10.1038/s41598-019-39406-9. PMID: 30809003; PMCID: PMC6391440. </w:t>
      </w:r>
    </w:p>
    <w:p w14:paraId="22140ABE" w14:textId="77777777" w:rsidR="0046480D" w:rsidRDefault="00C52226">
      <w:pPr>
        <w:spacing w:after="24" w:line="259" w:lineRule="auto"/>
        <w:ind w:left="90" w:firstLine="0"/>
        <w:jc w:val="left"/>
      </w:pPr>
      <w:r>
        <w:t xml:space="preserve"> </w:t>
      </w:r>
    </w:p>
    <w:p w14:paraId="75ECD371" w14:textId="77777777" w:rsidR="0046480D" w:rsidRDefault="00C52226">
      <w:pPr>
        <w:numPr>
          <w:ilvl w:val="0"/>
          <w:numId w:val="1"/>
        </w:numPr>
        <w:ind w:hanging="270"/>
      </w:pPr>
      <w:r>
        <w:t xml:space="preserve">Mishra N, </w:t>
      </w:r>
      <w:proofErr w:type="spellStart"/>
      <w:r>
        <w:t>Caciula</w:t>
      </w:r>
      <w:proofErr w:type="spellEnd"/>
      <w:r>
        <w:t xml:space="preserve"> A, Price A, </w:t>
      </w:r>
      <w:r>
        <w:rPr>
          <w:b/>
        </w:rPr>
        <w:t>Thakkar R</w:t>
      </w:r>
      <w:r>
        <w:t xml:space="preserve">, Ng J, Chauhan LV, Jain K, Che X, Espinosa DA, Montoya Cruz M, </w:t>
      </w:r>
      <w:proofErr w:type="spellStart"/>
      <w:r>
        <w:t>Balmaseda</w:t>
      </w:r>
      <w:proofErr w:type="spellEnd"/>
      <w:r>
        <w:t xml:space="preserve"> </w:t>
      </w:r>
    </w:p>
    <w:p w14:paraId="19788DA4" w14:textId="77777777" w:rsidR="0046480D" w:rsidRDefault="00C52226">
      <w:r>
        <w:t xml:space="preserve">A, Sullivan EH, Patel JJ, </w:t>
      </w:r>
      <w:proofErr w:type="spellStart"/>
      <w:r>
        <w:t>Jarman</w:t>
      </w:r>
      <w:proofErr w:type="spellEnd"/>
      <w:r>
        <w:t xml:space="preserve"> RG, </w:t>
      </w:r>
      <w:proofErr w:type="spellStart"/>
      <w:r>
        <w:t>Rakeman</w:t>
      </w:r>
      <w:proofErr w:type="spellEnd"/>
      <w:r>
        <w:t xml:space="preserve"> JL, Egan CT, </w:t>
      </w:r>
      <w:proofErr w:type="spellStart"/>
      <w:r>
        <w:t>Reusken</w:t>
      </w:r>
      <w:proofErr w:type="spellEnd"/>
      <w:r>
        <w:t xml:space="preserve"> CBEM, Koopmans MPG, Harris E, </w:t>
      </w:r>
      <w:proofErr w:type="spellStart"/>
      <w:r>
        <w:t>Tokarz</w:t>
      </w:r>
      <w:proofErr w:type="spellEnd"/>
      <w:r>
        <w:t xml:space="preserve"> R, </w:t>
      </w:r>
      <w:proofErr w:type="spellStart"/>
      <w:r>
        <w:t>Briese</w:t>
      </w:r>
      <w:proofErr w:type="spellEnd"/>
      <w:r>
        <w:t xml:space="preserve"> </w:t>
      </w:r>
    </w:p>
    <w:p w14:paraId="40DE7C28" w14:textId="77777777" w:rsidR="0046480D" w:rsidRDefault="00C52226">
      <w:r>
        <w:t xml:space="preserve">T, Lipkin WI. Diagnosis of Zika Virus Infection by Peptide Array and Enzyme-Linked Immunosorbent Assay. mBio. 2018 </w:t>
      </w:r>
    </w:p>
    <w:p w14:paraId="36079C4A" w14:textId="77777777" w:rsidR="00CC458A" w:rsidRDefault="00C52226">
      <w:pPr>
        <w:rPr>
          <w:color w:val="44546A"/>
        </w:rPr>
      </w:pPr>
      <w:r>
        <w:t xml:space="preserve">Mar 6;9(2):e00095-18. </w:t>
      </w:r>
      <w:proofErr w:type="spellStart"/>
      <w:r>
        <w:t>doi</w:t>
      </w:r>
      <w:proofErr w:type="spellEnd"/>
      <w:r>
        <w:t>: 10.1128/mBio.00095-18. PMID: 29511073; PMCID: PMC5844993</w:t>
      </w:r>
      <w:r>
        <w:rPr>
          <w:b/>
        </w:rPr>
        <w:t xml:space="preserve"> </w:t>
      </w:r>
      <w:r>
        <w:rPr>
          <w:b/>
        </w:rPr>
        <w:tab/>
      </w:r>
      <w:r>
        <w:rPr>
          <w:color w:val="44546A"/>
        </w:rPr>
        <w:t xml:space="preserve"> </w:t>
      </w:r>
    </w:p>
    <w:p w14:paraId="6BE2D66F" w14:textId="77777777" w:rsidR="00CC458A" w:rsidRDefault="00CC458A">
      <w:pPr>
        <w:rPr>
          <w:color w:val="44546A"/>
        </w:rPr>
      </w:pPr>
    </w:p>
    <w:p w14:paraId="324DF17C" w14:textId="5D038A70" w:rsidR="0046480D" w:rsidRDefault="00C52226">
      <w:r>
        <w:rPr>
          <w:b/>
        </w:rPr>
        <w:t>CERTIFICATE AND TRAINING</w:t>
      </w:r>
      <w:r>
        <w:rPr>
          <w:color w:val="44546A"/>
        </w:rPr>
        <w:t xml:space="preserve"> </w:t>
      </w:r>
    </w:p>
    <w:p w14:paraId="7335EB8C" w14:textId="77777777" w:rsidR="0046480D" w:rsidRDefault="00C52226">
      <w:pPr>
        <w:spacing w:after="0" w:line="259" w:lineRule="auto"/>
        <w:ind w:right="-71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6DAC2BF" wp14:editId="616DCFB5">
                <wp:extent cx="7023100" cy="6350"/>
                <wp:effectExtent l="0" t="0" r="0" b="0"/>
                <wp:docPr id="4149" name="Group 4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6350"/>
                          <a:chOff x="0" y="0"/>
                          <a:chExt cx="7023100" cy="6350"/>
                        </a:xfrm>
                      </wpg:grpSpPr>
                      <wps:wsp>
                        <wps:cNvPr id="796" name="Shape 796"/>
                        <wps:cNvSpPr/>
                        <wps:spPr>
                          <a:xfrm>
                            <a:off x="0" y="0"/>
                            <a:ext cx="702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00">
                                <a:moveTo>
                                  <a:pt x="0" y="0"/>
                                </a:moveTo>
                                <a:lnTo>
                                  <a:pt x="70231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9" style="width:553pt;height:0.5pt;mso-position-horizontal-relative:char;mso-position-vertical-relative:line" coordsize="70231,63">
                <v:shape id="Shape 796" style="position:absolute;width:70231;height:0;left:0;top:0;" coordsize="7023100,0" path="m0,0l702310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4B3A2E"/>
        </w:rPr>
        <w:t xml:space="preserve"> </w:t>
      </w:r>
    </w:p>
    <w:p w14:paraId="769A6154" w14:textId="77777777" w:rsidR="0046480D" w:rsidRDefault="00C52226">
      <w:pPr>
        <w:spacing w:after="0" w:line="259" w:lineRule="auto"/>
        <w:ind w:left="370"/>
        <w:jc w:val="left"/>
      </w:pPr>
      <w:r>
        <w:rPr>
          <w:b/>
        </w:rPr>
        <w:t xml:space="preserve">Science Honors’ Program | June 2014- January 2016 </w:t>
      </w:r>
    </w:p>
    <w:p w14:paraId="1B94BCF1" w14:textId="77777777" w:rsidR="0046480D" w:rsidRDefault="00C52226">
      <w:pPr>
        <w:ind w:left="370"/>
      </w:pPr>
      <w:proofErr w:type="spellStart"/>
      <w:r>
        <w:t>Kishinchand</w:t>
      </w:r>
      <w:proofErr w:type="spellEnd"/>
      <w:r>
        <w:t xml:space="preserve"> </w:t>
      </w:r>
      <w:proofErr w:type="spellStart"/>
      <w:r>
        <w:t>Chellaram</w:t>
      </w:r>
      <w:proofErr w:type="spellEnd"/>
      <w:r>
        <w:t xml:space="preserve"> College, Mumbai, India </w:t>
      </w:r>
    </w:p>
    <w:p w14:paraId="342132E8" w14:textId="77777777" w:rsidR="0046480D" w:rsidRDefault="00C52226">
      <w:pPr>
        <w:ind w:left="370"/>
      </w:pPr>
      <w:r>
        <w:t xml:space="preserve">Training program and seminars focused on developing skills and ethics essential for a career in the field of research. </w:t>
      </w:r>
    </w:p>
    <w:p w14:paraId="78AAC173" w14:textId="77777777" w:rsidR="0046480D" w:rsidRDefault="00C52226">
      <w:pPr>
        <w:spacing w:after="0" w:line="259" w:lineRule="auto"/>
        <w:ind w:left="360" w:firstLine="0"/>
        <w:jc w:val="left"/>
      </w:pPr>
      <w:r>
        <w:t xml:space="preserve"> </w:t>
      </w:r>
    </w:p>
    <w:p w14:paraId="49CC4A71" w14:textId="77777777" w:rsidR="0046480D" w:rsidRDefault="00C52226">
      <w:pPr>
        <w:spacing w:after="0" w:line="259" w:lineRule="auto"/>
        <w:ind w:left="370"/>
        <w:jc w:val="left"/>
      </w:pPr>
      <w:r>
        <w:rPr>
          <w:b/>
        </w:rPr>
        <w:t xml:space="preserve">Columbia University, November 2018 </w:t>
      </w:r>
    </w:p>
    <w:p w14:paraId="3D50C005" w14:textId="77777777" w:rsidR="0046480D" w:rsidRDefault="00C52226">
      <w:pPr>
        <w:ind w:left="370"/>
      </w:pPr>
      <w:r>
        <w:t xml:space="preserve">New York, NY </w:t>
      </w:r>
    </w:p>
    <w:p w14:paraId="5DE35A07" w14:textId="77777777" w:rsidR="0046480D" w:rsidRDefault="00C52226">
      <w:pPr>
        <w:ind w:left="370"/>
      </w:pPr>
      <w:r>
        <w:t xml:space="preserve">Workshop for Training in Fundamentals of Statistical Software: R. </w:t>
      </w:r>
    </w:p>
    <w:p w14:paraId="7601B30E" w14:textId="77777777" w:rsidR="0046480D" w:rsidRDefault="00C52226">
      <w:pPr>
        <w:spacing w:after="0" w:line="259" w:lineRule="auto"/>
        <w:ind w:left="360" w:firstLine="0"/>
        <w:jc w:val="left"/>
      </w:pPr>
      <w:r>
        <w:t xml:space="preserve"> </w:t>
      </w:r>
    </w:p>
    <w:p w14:paraId="3A3F0B3C" w14:textId="77777777" w:rsidR="0046480D" w:rsidRDefault="00C52226">
      <w:pPr>
        <w:spacing w:after="0" w:line="259" w:lineRule="auto"/>
        <w:ind w:left="370"/>
        <w:jc w:val="left"/>
      </w:pPr>
      <w:r>
        <w:rPr>
          <w:b/>
        </w:rPr>
        <w:t xml:space="preserve">Columbia University </w:t>
      </w:r>
    </w:p>
    <w:p w14:paraId="1F9ECD0C" w14:textId="77777777" w:rsidR="0046480D" w:rsidRDefault="00C52226">
      <w:pPr>
        <w:ind w:left="370"/>
      </w:pPr>
      <w:r>
        <w:t xml:space="preserve">New York, NY </w:t>
      </w:r>
    </w:p>
    <w:p w14:paraId="2A2D0D71" w14:textId="77777777" w:rsidR="0046480D" w:rsidRDefault="00C52226">
      <w:pPr>
        <w:numPr>
          <w:ilvl w:val="0"/>
          <w:numId w:val="2"/>
        </w:numPr>
        <w:ind w:hanging="270"/>
      </w:pPr>
      <w:r>
        <w:t xml:space="preserve">HIPAA Certificate </w:t>
      </w:r>
    </w:p>
    <w:p w14:paraId="1D6977DA" w14:textId="77777777" w:rsidR="0046480D" w:rsidRDefault="00C52226">
      <w:pPr>
        <w:numPr>
          <w:ilvl w:val="0"/>
          <w:numId w:val="2"/>
        </w:numPr>
        <w:ind w:hanging="270"/>
      </w:pPr>
      <w:r>
        <w:t xml:space="preserve">Recombinant DNA training </w:t>
      </w:r>
    </w:p>
    <w:p w14:paraId="7227AAD4" w14:textId="77777777" w:rsidR="0046480D" w:rsidRDefault="00C52226">
      <w:pPr>
        <w:numPr>
          <w:ilvl w:val="0"/>
          <w:numId w:val="2"/>
        </w:numPr>
        <w:ind w:hanging="270"/>
      </w:pPr>
      <w:r>
        <w:t xml:space="preserve">Viral Vector Research – Handling and Biosafety </w:t>
      </w:r>
    </w:p>
    <w:p w14:paraId="76D16F8A" w14:textId="77777777" w:rsidR="0046480D" w:rsidRDefault="00C52226">
      <w:pPr>
        <w:numPr>
          <w:ilvl w:val="0"/>
          <w:numId w:val="2"/>
        </w:numPr>
        <w:ind w:hanging="270"/>
      </w:pPr>
      <w:r>
        <w:t xml:space="preserve">Lab Safety, Chemical Hygiene, and Hazardous Waste Management Certificate </w:t>
      </w:r>
    </w:p>
    <w:p w14:paraId="5BB0E9F5" w14:textId="77777777" w:rsidR="0046480D" w:rsidRDefault="00C52226">
      <w:pPr>
        <w:numPr>
          <w:ilvl w:val="0"/>
          <w:numId w:val="2"/>
        </w:numPr>
        <w:ind w:hanging="270"/>
      </w:pPr>
      <w:r>
        <w:t xml:space="preserve">Biological Safety/Bloodborne Pathogens training </w:t>
      </w:r>
    </w:p>
    <w:p w14:paraId="2D0C3A57" w14:textId="77777777" w:rsidR="0046480D" w:rsidRDefault="00C52226">
      <w:pPr>
        <w:spacing w:after="0" w:line="259" w:lineRule="auto"/>
        <w:ind w:left="360" w:firstLine="0"/>
        <w:jc w:val="left"/>
      </w:pPr>
      <w:r>
        <w:t xml:space="preserve"> </w:t>
      </w:r>
    </w:p>
    <w:p w14:paraId="4926E961" w14:textId="77777777" w:rsidR="0046480D" w:rsidRDefault="00C52226">
      <w:pPr>
        <w:spacing w:after="0" w:line="259" w:lineRule="auto"/>
        <w:ind w:left="370"/>
        <w:jc w:val="left"/>
      </w:pPr>
      <w:r>
        <w:rPr>
          <w:b/>
        </w:rPr>
        <w:t xml:space="preserve">NYC Fire Department </w:t>
      </w:r>
    </w:p>
    <w:p w14:paraId="74D41CE8" w14:textId="77777777" w:rsidR="0046480D" w:rsidRDefault="00C52226">
      <w:pPr>
        <w:ind w:left="370"/>
      </w:pPr>
      <w:r>
        <w:t xml:space="preserve">C-14 Certificate (Cert.#88972393) for Supervising Non-Production Chemical Laboratories. </w:t>
      </w:r>
    </w:p>
    <w:p w14:paraId="0865D4FD" w14:textId="77777777" w:rsidR="0046480D" w:rsidRDefault="00C52226">
      <w:pPr>
        <w:spacing w:after="0" w:line="259" w:lineRule="auto"/>
        <w:ind w:left="360" w:firstLine="0"/>
        <w:jc w:val="left"/>
      </w:pPr>
      <w:r>
        <w:t xml:space="preserve"> </w:t>
      </w:r>
    </w:p>
    <w:p w14:paraId="45A8A62E" w14:textId="77777777" w:rsidR="0046480D" w:rsidRDefault="00C52226">
      <w:pPr>
        <w:spacing w:after="0" w:line="259" w:lineRule="auto"/>
        <w:ind w:left="360" w:firstLine="0"/>
        <w:jc w:val="left"/>
      </w:pPr>
      <w:r>
        <w:t xml:space="preserve"> </w:t>
      </w:r>
    </w:p>
    <w:sectPr w:rsidR="0046480D" w:rsidSect="008111DF">
      <w:headerReference w:type="even" r:id="rId7"/>
      <w:headerReference w:type="default" r:id="rId8"/>
      <w:headerReference w:type="first" r:id="rId9"/>
      <w:pgSz w:w="12240" w:h="15840"/>
      <w:pgMar w:top="1163" w:right="1435" w:bottom="901" w:left="450" w:header="2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02D64" w14:textId="77777777" w:rsidR="00BD33E1" w:rsidRDefault="00BD33E1">
      <w:pPr>
        <w:spacing w:after="0" w:line="240" w:lineRule="auto"/>
      </w:pPr>
      <w:r>
        <w:separator/>
      </w:r>
    </w:p>
  </w:endnote>
  <w:endnote w:type="continuationSeparator" w:id="0">
    <w:p w14:paraId="31474F1C" w14:textId="77777777" w:rsidR="00BD33E1" w:rsidRDefault="00BD3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CA44" w14:textId="77777777" w:rsidR="00BD33E1" w:rsidRDefault="00BD33E1">
      <w:pPr>
        <w:spacing w:after="0" w:line="240" w:lineRule="auto"/>
      </w:pPr>
      <w:r>
        <w:separator/>
      </w:r>
    </w:p>
  </w:footnote>
  <w:footnote w:type="continuationSeparator" w:id="0">
    <w:p w14:paraId="50ABA3EC" w14:textId="77777777" w:rsidR="00BD33E1" w:rsidRDefault="00BD3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7476" w14:textId="77777777" w:rsidR="0046480D" w:rsidRDefault="00C52226">
    <w:pPr>
      <w:spacing w:after="0" w:line="259" w:lineRule="auto"/>
      <w:ind w:left="270" w:firstLine="0"/>
      <w:jc w:val="left"/>
    </w:pPr>
    <w:r>
      <w:rPr>
        <w:b/>
        <w:sz w:val="28"/>
      </w:rPr>
      <w:t xml:space="preserve">RIDDHI THAKKAR </w:t>
    </w:r>
  </w:p>
  <w:p w14:paraId="7222CF2C" w14:textId="77777777" w:rsidR="0046480D" w:rsidRDefault="00C52226">
    <w:pPr>
      <w:spacing w:after="0" w:line="259" w:lineRule="auto"/>
      <w:ind w:left="270" w:firstLine="0"/>
      <w:jc w:val="left"/>
    </w:pPr>
    <w:r>
      <w:t xml:space="preserve">1590 Anderson Avenue, Fort Lee, NJ-07024 </w:t>
    </w:r>
  </w:p>
  <w:p w14:paraId="3C72B203" w14:textId="77777777" w:rsidR="0046480D" w:rsidRDefault="00C52226">
    <w:pPr>
      <w:spacing w:after="0" w:line="259" w:lineRule="auto"/>
      <w:ind w:left="270" w:firstLine="0"/>
      <w:jc w:val="left"/>
    </w:pPr>
    <w:r>
      <w:t xml:space="preserve">+1(973)687-9183 | rt2640@cumc.columbia.edu </w:t>
    </w:r>
  </w:p>
  <w:p w14:paraId="1723EDA4" w14:textId="77777777" w:rsidR="0046480D" w:rsidRDefault="00C52226">
    <w:pPr>
      <w:spacing w:after="0" w:line="259" w:lineRule="auto"/>
      <w:ind w:left="27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5D94D" w14:textId="77777777" w:rsidR="0046480D" w:rsidRDefault="00C52226">
    <w:pPr>
      <w:spacing w:after="0" w:line="259" w:lineRule="auto"/>
      <w:ind w:left="270" w:firstLine="0"/>
      <w:jc w:val="left"/>
    </w:pPr>
    <w:r>
      <w:rPr>
        <w:b/>
        <w:sz w:val="28"/>
      </w:rPr>
      <w:t xml:space="preserve">RIDDHI THAKKAR </w:t>
    </w:r>
  </w:p>
  <w:p w14:paraId="77FE251A" w14:textId="77777777" w:rsidR="0046480D" w:rsidRDefault="00C52226">
    <w:pPr>
      <w:spacing w:after="0" w:line="259" w:lineRule="auto"/>
      <w:ind w:left="270" w:firstLine="0"/>
      <w:jc w:val="left"/>
    </w:pPr>
    <w:r>
      <w:t xml:space="preserve">1590 Anderson Avenue, Fort Lee, NJ-07024 </w:t>
    </w:r>
  </w:p>
  <w:p w14:paraId="6BE2573F" w14:textId="77777777" w:rsidR="0046480D" w:rsidRDefault="00C52226">
    <w:pPr>
      <w:spacing w:after="0" w:line="259" w:lineRule="auto"/>
      <w:ind w:left="270" w:firstLine="0"/>
      <w:jc w:val="left"/>
    </w:pPr>
    <w:r>
      <w:t xml:space="preserve">+1(973)687-9183 | rt2640@cumc.columbia.edu </w:t>
    </w:r>
  </w:p>
  <w:p w14:paraId="6539EF04" w14:textId="77777777" w:rsidR="0046480D" w:rsidRDefault="00C52226">
    <w:pPr>
      <w:spacing w:after="0" w:line="259" w:lineRule="auto"/>
      <w:ind w:left="27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8683B" w14:textId="77777777" w:rsidR="0046480D" w:rsidRDefault="00C52226">
    <w:pPr>
      <w:spacing w:after="0" w:line="259" w:lineRule="auto"/>
      <w:ind w:left="270" w:firstLine="0"/>
      <w:jc w:val="left"/>
    </w:pPr>
    <w:r>
      <w:rPr>
        <w:b/>
        <w:sz w:val="28"/>
      </w:rPr>
      <w:t xml:space="preserve">RIDDHI THAKKAR </w:t>
    </w:r>
  </w:p>
  <w:p w14:paraId="23534B6B" w14:textId="77777777" w:rsidR="0046480D" w:rsidRDefault="00C52226">
    <w:pPr>
      <w:spacing w:after="0" w:line="259" w:lineRule="auto"/>
      <w:ind w:left="270" w:firstLine="0"/>
      <w:jc w:val="left"/>
    </w:pPr>
    <w:r>
      <w:t xml:space="preserve">1590 Anderson Avenue, Fort Lee, NJ-07024 </w:t>
    </w:r>
  </w:p>
  <w:p w14:paraId="4D811340" w14:textId="77777777" w:rsidR="0046480D" w:rsidRDefault="00C52226">
    <w:pPr>
      <w:spacing w:after="0" w:line="259" w:lineRule="auto"/>
      <w:ind w:left="270" w:firstLine="0"/>
      <w:jc w:val="left"/>
    </w:pPr>
    <w:r>
      <w:t xml:space="preserve">+1(973)687-9183 | rt2640@cumc.columbia.edu </w:t>
    </w:r>
  </w:p>
  <w:p w14:paraId="6BCC5940" w14:textId="77777777" w:rsidR="0046480D" w:rsidRDefault="00C52226">
    <w:pPr>
      <w:spacing w:after="0" w:line="259" w:lineRule="auto"/>
      <w:ind w:left="27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6950"/>
    <w:multiLevelType w:val="hybridMultilevel"/>
    <w:tmpl w:val="EFECDEB0"/>
    <w:lvl w:ilvl="0" w:tplc="A9246CB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52BDA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4688B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C47C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A832D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2878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E40F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CC084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C4A9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7E572C"/>
    <w:multiLevelType w:val="hybridMultilevel"/>
    <w:tmpl w:val="0FFA3352"/>
    <w:lvl w:ilvl="0" w:tplc="1EAAE6EA">
      <w:start w:val="1"/>
      <w:numFmt w:val="bullet"/>
      <w:lvlText w:val="•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94F7CA">
      <w:start w:val="1"/>
      <w:numFmt w:val="bullet"/>
      <w:lvlText w:val="o"/>
      <w:lvlJc w:val="left"/>
      <w:pPr>
        <w:ind w:left="11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043788">
      <w:start w:val="1"/>
      <w:numFmt w:val="bullet"/>
      <w:lvlText w:val="▪"/>
      <w:lvlJc w:val="left"/>
      <w:pPr>
        <w:ind w:left="18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A03750">
      <w:start w:val="1"/>
      <w:numFmt w:val="bullet"/>
      <w:lvlText w:val="•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8A30E2">
      <w:start w:val="1"/>
      <w:numFmt w:val="bullet"/>
      <w:lvlText w:val="o"/>
      <w:lvlJc w:val="left"/>
      <w:pPr>
        <w:ind w:left="32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2E674">
      <w:start w:val="1"/>
      <w:numFmt w:val="bullet"/>
      <w:lvlText w:val="▪"/>
      <w:lvlJc w:val="left"/>
      <w:pPr>
        <w:ind w:left="39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E25C38">
      <w:start w:val="1"/>
      <w:numFmt w:val="bullet"/>
      <w:lvlText w:val="•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E2BC62">
      <w:start w:val="1"/>
      <w:numFmt w:val="bullet"/>
      <w:lvlText w:val="o"/>
      <w:lvlJc w:val="left"/>
      <w:pPr>
        <w:ind w:left="5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4A8484">
      <w:start w:val="1"/>
      <w:numFmt w:val="bullet"/>
      <w:lvlText w:val="▪"/>
      <w:lvlJc w:val="left"/>
      <w:pPr>
        <w:ind w:left="6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80D"/>
    <w:rsid w:val="0046480D"/>
    <w:rsid w:val="006E3400"/>
    <w:rsid w:val="008111DF"/>
    <w:rsid w:val="00BD33E1"/>
    <w:rsid w:val="00C52226"/>
    <w:rsid w:val="00CC458A"/>
    <w:rsid w:val="00D44525"/>
    <w:rsid w:val="00F8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CACCC"/>
  <w15:docId w15:val="{B168E4B4-4035-C34C-BD65-74A615F3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280" w:hanging="10"/>
      <w:jc w:val="both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Thakkar, Riddhi K.</cp:lastModifiedBy>
  <cp:revision>4</cp:revision>
  <dcterms:created xsi:type="dcterms:W3CDTF">2021-08-05T18:42:00Z</dcterms:created>
  <dcterms:modified xsi:type="dcterms:W3CDTF">2021-11-03T20:43:00Z</dcterms:modified>
</cp:coreProperties>
</file>