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widowControl w:val="0"/>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2: Critical Thinking</w:t>
      </w:r>
    </w:p>
    <w:p w:rsidR="00000000" w:rsidDel="00000000" w:rsidP="00000000" w:rsidRDefault="00000000" w:rsidRPr="00000000" w14:paraId="0000000A">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Unethical and Illegal Behavior</w:t>
      </w:r>
    </w:p>
    <w:p w:rsidR="00000000" w:rsidDel="00000000" w:rsidP="00000000" w:rsidRDefault="00000000" w:rsidRPr="00000000" w14:paraId="0000000B">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Ryan Thompson</w:t>
      </w:r>
    </w:p>
    <w:p w:rsidR="00000000" w:rsidDel="00000000" w:rsidP="00000000" w:rsidRDefault="00000000" w:rsidRPr="00000000" w14:paraId="0000000C">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D">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ISM 527</w:t>
      </w:r>
    </w:p>
    <w:p w:rsidR="00000000" w:rsidDel="00000000" w:rsidP="00000000" w:rsidRDefault="00000000" w:rsidRPr="00000000" w14:paraId="0000000E">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McCubbrey</w:t>
      </w:r>
    </w:p>
    <w:p w:rsidR="00000000" w:rsidDel="00000000" w:rsidP="00000000" w:rsidRDefault="00000000" w:rsidRPr="00000000" w14:paraId="0000000F">
      <w:pPr>
        <w:widowControl w:val="0"/>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Oct 2025</w:t>
      </w:r>
    </w:p>
    <w:p w:rsidR="00000000" w:rsidDel="00000000" w:rsidP="00000000" w:rsidRDefault="00000000" w:rsidRPr="00000000" w14:paraId="00000010">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widowControl w:val="0"/>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widowControl w:val="0"/>
        <w:spacing w:after="240" w:before="24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Unethical and Illegal Behavior</w:t>
      </w:r>
    </w:p>
    <w:p w:rsidR="00000000" w:rsidDel="00000000" w:rsidP="00000000" w:rsidRDefault="00000000" w:rsidRPr="00000000" w14:paraId="00000018">
      <w:pPr>
        <w:widowControl w:val="0"/>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Information Security (InfoSec) is a field built on trust, responsibility, and accountability. As technology becomes deeply integrated into every facet of society, ethical conduct and legal compliance are essential to safeguard digital assets and protect individuals’ rights. The relationship between ethics, law, and information security is intricate because each domain influences how professionals manage, protect, and use data. Adherence to ethical standards and legal frameworks ensures that organizations maintain confidentiality, integrity, and availability, the core principles of InfoSec.</w:t>
      </w:r>
      <w:r w:rsidDel="00000000" w:rsidR="00000000" w:rsidRPr="00000000">
        <w:rPr>
          <w:rtl w:val="0"/>
        </w:rPr>
      </w:r>
    </w:p>
    <w:p w:rsidR="00000000" w:rsidDel="00000000" w:rsidP="00000000" w:rsidRDefault="00000000" w:rsidRPr="00000000" w14:paraId="00000019">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 serve as the foundation for responsible behavior in information security. Ethical principles guide professionals to act with honesty, fairness, and respect for privacy, even when no explicit legal requirement exists. Without ethical guidelines, InfoSec professionals could misuse privileged access or engage in actions that compromise trust. For example, ethical decision-making is critical when handling sensitive user data or investigating insider threats.</w:t>
      </w:r>
    </w:p>
    <w:p w:rsidR="00000000" w:rsidDel="00000000" w:rsidP="00000000" w:rsidRDefault="00000000" w:rsidRPr="00000000" w14:paraId="0000001A">
      <w:pPr>
        <w:widowControl w:val="0"/>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Laws, on the other hand, provide formal boundaries that define acceptable conduct and consequences for violations. They protect individuals and organizations from harm caused by cybercrime, negligence, or data misuse. Together, ethics and law reinforce accountability and shape the culture of cybersecurity practice. Professionals who follow both ensure that technology serves the public good while mitigating potential risks and liabilities (Whitman &amp; Mattord, 2023).</w:t>
      </w:r>
      <w:r w:rsidDel="00000000" w:rsidR="00000000" w:rsidRPr="00000000">
        <w:rPr>
          <w:rtl w:val="0"/>
        </w:rPr>
      </w:r>
    </w:p>
    <w:p w:rsidR="00000000" w:rsidDel="00000000" w:rsidP="00000000" w:rsidRDefault="00000000" w:rsidRPr="00000000" w14:paraId="0000001B">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organizations such as (ISC)², ISACA, and IEEE play a vital role in promoting ethical behavior and setting global standards for the InfoSec community. The </w:t>
      </w:r>
      <w:r w:rsidDel="00000000" w:rsidR="00000000" w:rsidRPr="00000000">
        <w:rPr>
          <w:rFonts w:ascii="Times New Roman" w:cs="Times New Roman" w:eastAsia="Times New Roman" w:hAnsi="Times New Roman"/>
          <w:i w:val="1"/>
          <w:sz w:val="24"/>
          <w:szCs w:val="24"/>
          <w:rtl w:val="0"/>
        </w:rPr>
        <w:t xml:space="preserve">(ISC)² Code of Ethics</w:t>
      </w:r>
      <w:r w:rsidDel="00000000" w:rsidR="00000000" w:rsidRPr="00000000">
        <w:rPr>
          <w:rFonts w:ascii="Times New Roman" w:cs="Times New Roman" w:eastAsia="Times New Roman" w:hAnsi="Times New Roman"/>
          <w:sz w:val="24"/>
          <w:szCs w:val="24"/>
          <w:rtl w:val="0"/>
        </w:rPr>
        <w:t xml:space="preserve"> emphasizes protecting society, the common good, and the infrastructure while acting honorably, honestly, and legally (ISC², 2023). ISACA’s </w:t>
      </w:r>
      <w:r w:rsidDel="00000000" w:rsidR="00000000" w:rsidRPr="00000000">
        <w:rPr>
          <w:rFonts w:ascii="Times New Roman" w:cs="Times New Roman" w:eastAsia="Times New Roman" w:hAnsi="Times New Roman"/>
          <w:i w:val="1"/>
          <w:sz w:val="24"/>
          <w:szCs w:val="24"/>
          <w:rtl w:val="0"/>
        </w:rPr>
        <w:t xml:space="preserve">Code of Professional Ethics</w:t>
      </w:r>
      <w:r w:rsidDel="00000000" w:rsidR="00000000" w:rsidRPr="00000000">
        <w:rPr>
          <w:rFonts w:ascii="Times New Roman" w:cs="Times New Roman" w:eastAsia="Times New Roman" w:hAnsi="Times New Roman"/>
          <w:sz w:val="24"/>
          <w:szCs w:val="24"/>
          <w:rtl w:val="0"/>
        </w:rPr>
        <w:t xml:space="preserve"> mandates integrity, objectivity, and confidentiality in auditing and governance activities. Similarly, IEEE’s </w:t>
      </w:r>
      <w:r w:rsidDel="00000000" w:rsidR="00000000" w:rsidRPr="00000000">
        <w:rPr>
          <w:rFonts w:ascii="Times New Roman" w:cs="Times New Roman" w:eastAsia="Times New Roman" w:hAnsi="Times New Roman"/>
          <w:i w:val="1"/>
          <w:sz w:val="24"/>
          <w:szCs w:val="24"/>
          <w:rtl w:val="0"/>
        </w:rPr>
        <w:t xml:space="preserve">Code of Ethics</w:t>
      </w:r>
      <w:r w:rsidDel="00000000" w:rsidR="00000000" w:rsidRPr="00000000">
        <w:rPr>
          <w:rFonts w:ascii="Times New Roman" w:cs="Times New Roman" w:eastAsia="Times New Roman" w:hAnsi="Times New Roman"/>
          <w:sz w:val="24"/>
          <w:szCs w:val="24"/>
          <w:rtl w:val="0"/>
        </w:rPr>
        <w:t xml:space="preserve"> encourages professionals to uphold honesty, avoid harm, and respect privacy in technological development (IEEE, 2023).</w:t>
      </w:r>
    </w:p>
    <w:p w:rsidR="00000000" w:rsidDel="00000000" w:rsidP="00000000" w:rsidRDefault="00000000" w:rsidRPr="00000000" w14:paraId="0000001C">
      <w:pPr>
        <w:widowControl w:val="0"/>
        <w:spacing w:after="240" w:before="240" w:line="480" w:lineRule="auto"/>
        <w:ind w:firstLine="72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These organizations not only define ethical expectations but also offer certifications, such as CISSP, CISM, and CEH, that require adherence to professional conduct standards. By doing so, they help ensure that InfoSec professionals maintain competency and integrity across industries.</w:t>
      </w:r>
      <w:r w:rsidDel="00000000" w:rsidR="00000000" w:rsidRPr="00000000">
        <w:rPr>
          <w:rtl w:val="0"/>
        </w:rPr>
      </w:r>
    </w:p>
    <w:p w:rsidR="00000000" w:rsidDel="00000000" w:rsidP="00000000" w:rsidRDefault="00000000" w:rsidRPr="00000000" w14:paraId="0000001D">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and international laws provide structured frameworks for data protection, privacy, and cybersecurity practices. The General Data Protection Regulation (GDPR), enacted by the European Union, mandates strict data privacy protections and grants individuals control over their personal data. It requires organizations to implement strong security measures and report breaches within 72 hours (European Parliament, 2016). The Health Insurance Portability and Accountability Act (HIPAA) in the United States safeguards medical information, requiring healthcare organizations to maintain confidentiality and implement secure access controls (U.S. Department of Health &amp; Human Services, 2022). Additionally, the Payment Card Industry Data Security Standard (PCI DSS) protects consumers’ financial data by setting technical and operational requirements for businesses handling credit card information.</w:t>
      </w:r>
    </w:p>
    <w:p w:rsidR="00000000" w:rsidDel="00000000" w:rsidP="00000000" w:rsidRDefault="00000000" w:rsidRPr="00000000" w14:paraId="0000001E">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laws and standards significantly impact InfoSec operations by defining compliance obligations and shaping internal policies. Organizations must develop secure systems, conduct regular risk assessments, and document compliance efforts to avoid penalties. Failure to comply can result in fines, reputational damage, and loss of consumer trust. Thus, legal and regulatory frameworks ensure that organizations embed cybersecurity best practices into their daily operations.</w:t>
      </w:r>
    </w:p>
    <w:p w:rsidR="00000000" w:rsidDel="00000000" w:rsidP="00000000" w:rsidRDefault="00000000" w:rsidRPr="00000000" w14:paraId="0000001F">
      <w:pPr>
        <w:widowControl w:val="0"/>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Ethics and law form the backbone of information security practice, ensuring that technology is used responsibly and securely. While ethics provide moral guidance for professional conduct, laws establish the legal boundaries for protecting data and systems. Professional organizations such as (ISC)², ISACA, and IEEE bridge the two by defining ethical standards and certifying professionals who demonstrate competence and integrity. Meanwhile, compliance with regulations like GDPR, HIPAA, and PCI DSS ensures accountability and builds public trust. Ultimately, the alignment of law, ethics, and professional standards creates a secure and trustworthy digital ecosystem.</w:t>
      </w:r>
    </w:p>
    <w:p w:rsidR="00000000" w:rsidDel="00000000" w:rsidP="00000000" w:rsidRDefault="00000000" w:rsidRPr="00000000" w14:paraId="00000020">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0"/>
        <w:keepLines w:val="0"/>
        <w:widowControl w:val="0"/>
        <w:spacing w:before="28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02C">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European Parliament. (2016). </w:t>
      </w:r>
      <w:r w:rsidDel="00000000" w:rsidR="00000000" w:rsidRPr="00000000">
        <w:rPr>
          <w:rFonts w:ascii="Times New Roman" w:cs="Times New Roman" w:eastAsia="Times New Roman" w:hAnsi="Times New Roman"/>
          <w:i w:val="1"/>
          <w:sz w:val="24"/>
          <w:szCs w:val="24"/>
          <w:rtl w:val="0"/>
        </w:rPr>
        <w:t xml:space="preserve">Regulation (EU) 2016/679 of the European Parliament and of the Council (General Data Protection Regulation).</w:t>
      </w:r>
      <w:r w:rsidDel="00000000" w:rsidR="00000000" w:rsidRPr="00000000">
        <w:rPr>
          <w:rFonts w:ascii="Times New Roman" w:cs="Times New Roman" w:eastAsia="Times New Roman" w:hAnsi="Times New Roman"/>
          <w:sz w:val="24"/>
          <w:szCs w:val="24"/>
          <w:rtl w:val="0"/>
        </w:rPr>
        <w:t xml:space="preserve"> Official Journal of the European Union. https://eur-lex.europa.eu/</w:t>
      </w:r>
    </w:p>
    <w:p w:rsidR="00000000" w:rsidDel="00000000" w:rsidP="00000000" w:rsidRDefault="00000000" w:rsidRPr="00000000" w14:paraId="0000002D">
      <w:pPr>
        <w:widowControl w:val="0"/>
        <w:spacing w:after="240" w:before="240" w:line="480" w:lineRule="auto"/>
        <w:ind w:left="720" w:hanging="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IEEE. (2023). </w:t>
      </w:r>
      <w:r w:rsidDel="00000000" w:rsidR="00000000" w:rsidRPr="00000000">
        <w:rPr>
          <w:rFonts w:ascii="Times New Roman" w:cs="Times New Roman" w:eastAsia="Times New Roman" w:hAnsi="Times New Roman"/>
          <w:i w:val="1"/>
          <w:sz w:val="24"/>
          <w:szCs w:val="24"/>
          <w:rtl w:val="0"/>
        </w:rPr>
        <w:t xml:space="preserve">IEEE code of ethics.</w:t>
      </w:r>
      <w:r w:rsidDel="00000000" w:rsidR="00000000" w:rsidRPr="00000000">
        <w:rPr>
          <w:rFonts w:ascii="Times New Roman" w:cs="Times New Roman" w:eastAsia="Times New Roman" w:hAnsi="Times New Roman"/>
          <w:sz w:val="24"/>
          <w:szCs w:val="24"/>
          <w:rtl w:val="0"/>
        </w:rPr>
        <w:t xml:space="preserve"> IEEE.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https://www.ieee.org/about/corporate/governance/p7-8.html</w:t>
        </w:r>
      </w:hyperlink>
      <w:r w:rsidDel="00000000" w:rsidR="00000000" w:rsidRPr="00000000">
        <w:rPr>
          <w:rtl w:val="0"/>
        </w:rPr>
      </w:r>
    </w:p>
    <w:p w:rsidR="00000000" w:rsidDel="00000000" w:rsidP="00000000" w:rsidRDefault="00000000" w:rsidRPr="00000000" w14:paraId="0000002E">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ISC². (2023). </w:t>
      </w:r>
      <w:r w:rsidDel="00000000" w:rsidR="00000000" w:rsidRPr="00000000">
        <w:rPr>
          <w:rFonts w:ascii="Times New Roman" w:cs="Times New Roman" w:eastAsia="Times New Roman" w:hAnsi="Times New Roman"/>
          <w:i w:val="1"/>
          <w:sz w:val="24"/>
          <w:szCs w:val="24"/>
          <w:rtl w:val="0"/>
        </w:rPr>
        <w:t xml:space="preserve">(ISC)² code of ethics.</w:t>
      </w:r>
      <w:r w:rsidDel="00000000" w:rsidR="00000000" w:rsidRPr="00000000">
        <w:rPr>
          <w:rFonts w:ascii="Times New Roman" w:cs="Times New Roman" w:eastAsia="Times New Roman" w:hAnsi="Times New Roman"/>
          <w:sz w:val="24"/>
          <w:szCs w:val="24"/>
          <w:rtl w:val="0"/>
        </w:rPr>
        <w:t xml:space="preserve"> International Information System Security Certification Consortium. https://www.isc2.org/Ethics</w:t>
      </w:r>
    </w:p>
    <w:p w:rsidR="00000000" w:rsidDel="00000000" w:rsidP="00000000" w:rsidRDefault="00000000" w:rsidRPr="00000000" w14:paraId="0000002F">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Health &amp; Human Services. (2022). </w:t>
      </w:r>
      <w:r w:rsidDel="00000000" w:rsidR="00000000" w:rsidRPr="00000000">
        <w:rPr>
          <w:rFonts w:ascii="Times New Roman" w:cs="Times New Roman" w:eastAsia="Times New Roman" w:hAnsi="Times New Roman"/>
          <w:i w:val="1"/>
          <w:sz w:val="24"/>
          <w:szCs w:val="24"/>
          <w:rtl w:val="0"/>
        </w:rPr>
        <w:t xml:space="preserve">Summary of the HIPAA security rule.</w:t>
      </w:r>
      <w:r w:rsidDel="00000000" w:rsidR="00000000" w:rsidRPr="00000000">
        <w:rPr>
          <w:rFonts w:ascii="Times New Roman" w:cs="Times New Roman" w:eastAsia="Times New Roman" w:hAnsi="Times New Roman"/>
          <w:sz w:val="24"/>
          <w:szCs w:val="24"/>
          <w:rtl w:val="0"/>
        </w:rPr>
        <w:t xml:space="preserve"> https://www.hhs.gov/hipaa/for-professionals/security/laws-regulations</w:t>
      </w:r>
    </w:p>
    <w:p w:rsidR="00000000" w:rsidDel="00000000" w:rsidP="00000000" w:rsidRDefault="00000000" w:rsidRPr="00000000" w14:paraId="00000030">
      <w:pPr>
        <w:widowControl w:val="0"/>
        <w:spacing w:after="240" w:before="240" w:line="480" w:lineRule="auto"/>
        <w:ind w:left="720"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Whitman, M. E., &amp; Mattord, H. J. (2023). </w:t>
      </w:r>
      <w:r w:rsidDel="00000000" w:rsidR="00000000" w:rsidRPr="00000000">
        <w:rPr>
          <w:rFonts w:ascii="Times New Roman" w:cs="Times New Roman" w:eastAsia="Times New Roman" w:hAnsi="Times New Roman"/>
          <w:i w:val="1"/>
          <w:sz w:val="24"/>
          <w:szCs w:val="24"/>
          <w:rtl w:val="0"/>
        </w:rPr>
        <w:t xml:space="preserve">Principles of information security</w:t>
      </w:r>
      <w:r w:rsidDel="00000000" w:rsidR="00000000" w:rsidRPr="00000000">
        <w:rPr>
          <w:rFonts w:ascii="Times New Roman" w:cs="Times New Roman" w:eastAsia="Times New Roman" w:hAnsi="Times New Roman"/>
          <w:sz w:val="24"/>
          <w:szCs w:val="24"/>
          <w:rtl w:val="0"/>
        </w:rPr>
        <w:t xml:space="preserve"> (7th ed.). Cengage Learning.</w:t>
      </w:r>
    </w:p>
    <w:p w:rsidR="00000000" w:rsidDel="00000000" w:rsidP="00000000" w:rsidRDefault="00000000" w:rsidRPr="00000000" w14:paraId="00000031">
      <w:pPr>
        <w:widowControl w:val="0"/>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after="240" w:before="240" w:line="480" w:lineRule="auto"/>
        <w:jc w:val="left"/>
        <w:rPr>
          <w:rFonts w:ascii="Times New Roman" w:cs="Times New Roman" w:eastAsia="Times New Roman" w:hAnsi="Times New Roman"/>
          <w:sz w:val="24"/>
          <w:szCs w:val="24"/>
        </w:rPr>
      </w:pPr>
      <w:r w:rsidDel="00000000" w:rsidR="00000000" w:rsidRPr="00000000">
        <w:rPr>
          <w:rtl w:val="0"/>
        </w:rPr>
      </w:r>
    </w:p>
    <w:sectPr>
      <w:headerReference r:id="rId8" w:type="default"/>
      <w:footerReference r:id="rId9" w:type="default"/>
      <w:pgSz w:h="15840" w:w="12240" w:orient="portrait"/>
      <w:pgMar w:bottom="360" w:top="36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jc w:val="right"/>
      <w:rPr>
        <w:color w:val="666666"/>
      </w:rPr>
    </w:pPr>
    <w:r w:rsidDel="00000000" w:rsidR="00000000" w:rsidRPr="00000000">
      <w:rPr>
        <w:color w:val="66666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35">
    <w:pPr>
      <w:jc w:val="right"/>
      <w:rPr>
        <w:color w:val="666666"/>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www.ieee.org/about/corporate/governance/p7-8.html" TargetMode="External"/><Relationship Id="rId7" Type="http://schemas.openxmlformats.org/officeDocument/2006/relationships/hyperlink" Target="https://www.ieee.org/about/corporate/governance/p7-8.html"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