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Module 5: Portfolio Milestone - First Draft</w:t>
      </w: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November 2025</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widowControl w:val="0"/>
        <w:spacing w:before="280" w:line="480" w:lineRule="auto"/>
        <w:ind w:left="720"/>
        <w:jc w:val="center"/>
        <w:rPr>
          <w:rFonts w:ascii="Times New Roman" w:cs="Times New Roman" w:eastAsia="Times New Roman" w:hAnsi="Times New Roman"/>
          <w:b w:val="1"/>
          <w:color w:val="000000"/>
          <w:sz w:val="26"/>
          <w:szCs w:val="26"/>
        </w:rPr>
      </w:pPr>
      <w:bookmarkStart w:colFirst="0" w:colLast="0" w:name="_trmvxfmutk9h" w:id="0"/>
      <w:bookmarkEnd w:id="0"/>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threats continue to increase, making it essential for financial organizations to protect customer data and maintain compliance with industry regulations. The financial company in this scenario manages sensitive customer information related to insurance and annuities. Because of the high risk involved, the company plans to move its database from an on premises platform to a cloud based system. The purpose of this assessment is to evaluate five major cloud service providers, Microsoft Azure, Amazon Web Services (AWS), Google Cloud Platform (GCP), IBM Cloud, and Oracle Cloud, to determine which one meets the company’s security and compliance needs.</w:t>
      </w:r>
    </w:p>
    <w:p w:rsidR="00000000" w:rsidDel="00000000" w:rsidP="00000000" w:rsidRDefault="00000000" w:rsidRPr="00000000" w14:paraId="00000019">
      <w:pPr>
        <w:pStyle w:val="Heading3"/>
        <w:keepNext w:val="0"/>
        <w:keepLines w:val="0"/>
        <w:widowControl w:val="0"/>
        <w:spacing w:before="280" w:line="480" w:lineRule="auto"/>
        <w:ind w:left="720"/>
        <w:rPr>
          <w:rFonts w:ascii="Times New Roman" w:cs="Times New Roman" w:eastAsia="Times New Roman" w:hAnsi="Times New Roman"/>
          <w:b w:val="1"/>
          <w:color w:val="000000"/>
          <w:sz w:val="26"/>
          <w:szCs w:val="26"/>
        </w:rPr>
      </w:pPr>
      <w:bookmarkStart w:colFirst="0" w:colLast="0" w:name="_smxd2h5qocjy" w:id="1"/>
      <w:bookmarkEnd w:id="1"/>
      <w:r w:rsidDel="00000000" w:rsidR="00000000" w:rsidRPr="00000000">
        <w:rPr>
          <w:rFonts w:ascii="Times New Roman" w:cs="Times New Roman" w:eastAsia="Times New Roman" w:hAnsi="Times New Roman"/>
          <w:b w:val="1"/>
          <w:color w:val="000000"/>
          <w:sz w:val="26"/>
          <w:szCs w:val="26"/>
          <w:rtl w:val="0"/>
        </w:rPr>
        <w:t xml:space="preserve">Cloud Security Overview</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 the cloud requires careful consideration of data protection, access control, regulatory compliance, and disaster recovery. Each of the five platforms offers strong security features, but they differ in design and implementation. The organization needs a platform that ensures secure data access during emergencies, provides access based on employee roles, supports automatic recovery, follows financial and privacy standards, and includes continuous monitoring and alerting tools.</w:t>
      </w:r>
    </w:p>
    <w:p w:rsidR="00000000" w:rsidDel="00000000" w:rsidP="00000000" w:rsidRDefault="00000000" w:rsidRPr="00000000" w14:paraId="0000001B">
      <w:pPr>
        <w:pStyle w:val="Heading3"/>
        <w:keepNext w:val="0"/>
        <w:keepLines w:val="0"/>
        <w:widowControl w:val="0"/>
        <w:spacing w:before="280" w:line="480" w:lineRule="auto"/>
        <w:ind w:left="720"/>
        <w:rPr>
          <w:rFonts w:ascii="Times New Roman" w:cs="Times New Roman" w:eastAsia="Times New Roman" w:hAnsi="Times New Roman"/>
          <w:b w:val="1"/>
          <w:color w:val="000000"/>
          <w:sz w:val="22"/>
          <w:szCs w:val="22"/>
        </w:rPr>
      </w:pPr>
      <w:bookmarkStart w:colFirst="0" w:colLast="0" w:name="_5i4pat82qaka" w:id="2"/>
      <w:bookmarkEnd w:id="2"/>
      <w:r w:rsidDel="00000000" w:rsidR="00000000" w:rsidRPr="00000000">
        <w:rPr>
          <w:rFonts w:ascii="Times New Roman" w:cs="Times New Roman" w:eastAsia="Times New Roman" w:hAnsi="Times New Roman"/>
          <w:b w:val="1"/>
          <w:color w:val="000000"/>
          <w:sz w:val="26"/>
          <w:szCs w:val="26"/>
          <w:rtl w:val="0"/>
        </w:rPr>
        <w:t xml:space="preserve">Platform Evaluation</w:t>
      </w:r>
      <w:r w:rsidDel="00000000" w:rsidR="00000000" w:rsidRPr="00000000">
        <w:rPr>
          <w:rtl w:val="0"/>
        </w:rPr>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sz w:val="24"/>
          <w:szCs w:val="24"/>
          <w:rtl w:val="0"/>
        </w:rPr>
        <w:t xml:space="preserve">AWS is a well established cloud provider with extensive global coverage and a strong security framework. It meets key compliance standards such as FINRA, SOC 2, and ISO 27001. AWS Identity and Access Management (IAM) provides precise access control, allowing permissions to be assigned based on job function. The platform includes backup and disaster recovery services that protect data during outages or breaches. AWS CloudTrail and Amazon GuardDuty provide automated alerts and threat detection to maintain compliance and identify potential risks. These features make AWS a reliable choice for organizations that require scalability and continuous protection.</w:t>
      </w:r>
      <w:r w:rsidDel="00000000" w:rsidR="00000000" w:rsidRPr="00000000">
        <w:rPr>
          <w:rtl w:val="0"/>
        </w:rPr>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sz w:val="24"/>
          <w:szCs w:val="24"/>
          <w:rtl w:val="0"/>
        </w:rPr>
        <w:t xml:space="preserve">Microsoft Azure offers a complete set of cloud services designed for enterprise environments. It meets regulatory requirements such as FINRA, PCI DSS, and GDPR. Azure Active Directory uses role based access control to ensure employees can access only what is necessary for their work. Azure Security Center continuously monitors system health, compliance, and threat activity. Geo Redundant Storage and Site Recovery options ensure data is protected and can be restored quickly after a security event or disaster. Because Azure integrates easily with existing Microsoft tools, it is an excellent choice for companies that already use Microsoft systems.</w:t>
      </w:r>
      <w:r w:rsidDel="00000000" w:rsidR="00000000" w:rsidRPr="00000000">
        <w:rPr>
          <w:rtl w:val="0"/>
        </w:rPr>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sz w:val="24"/>
          <w:szCs w:val="24"/>
          <w:rtl w:val="0"/>
        </w:rPr>
        <w:t xml:space="preserve">GCP focuses on encryption, automation, and threat detection using machine learning. It complies with FINRA, SOC, and ISO 27017 standards. Access management is handled through Cloud Identity and Access Management, which allows flexible role based permissions. GCP’s disaster recovery and monitoring tools provide real time alerts for potential security concerns. While GCP offers a strong infrastructure and modern security tools, it may have fewer financial specific compliance options compared to Azure or AWS.</w:t>
      </w:r>
      <w:r w:rsidDel="00000000" w:rsidR="00000000" w:rsidRPr="00000000">
        <w:rPr>
          <w:rtl w:val="0"/>
        </w:rPr>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sz w:val="24"/>
          <w:szCs w:val="24"/>
          <w:rtl w:val="0"/>
        </w:rPr>
        <w:t xml:space="preserve">IBM Cloud provides enterprise level protection for organizations that handle financial data. IBM Hyper Protect Services offer encryption and hardware based security to safeguard information. The platform supports compliance with FINRA, PCI DSS, and SOC standards. Automated recovery and continuous monitoring are managed through IBM QRadar, which helps detect and respond to threats. IBM Cloud is well suited for organizations that prioritize encryption and control, though it has fewer data centers and integration options than AWS or Azure.</w:t>
      </w:r>
      <w:r w:rsidDel="00000000" w:rsidR="00000000" w:rsidRPr="00000000">
        <w:rPr>
          <w:rtl w:val="0"/>
        </w:rPr>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Cloud Infrastructure (OCI) delivers strong performance for database management and financial applications. It supports SOC, PCI DSS, and GDPR compliance. Oracle’s Identity and Access Management tools control data access based on job roles. Cloud Guard and Data Safe provide monitoring, auditing, and automated alerts. OCI’s automatic backup and recovery features ensure that data remains available even after a security incident. Although Oracle Cloud is efficient for managing data, its monitoring tools are not as advanced as those found in AWS or Azure.</w:t>
      </w:r>
    </w:p>
    <w:p w:rsidR="00000000" w:rsidDel="00000000" w:rsidP="00000000" w:rsidRDefault="00000000" w:rsidRPr="00000000" w14:paraId="00000021">
      <w:pPr>
        <w:pStyle w:val="Heading3"/>
        <w:keepNext w:val="0"/>
        <w:keepLines w:val="0"/>
        <w:widowControl w:val="0"/>
        <w:spacing w:before="280" w:line="480" w:lineRule="auto"/>
        <w:ind w:left="720"/>
        <w:rPr>
          <w:rFonts w:ascii="Times New Roman" w:cs="Times New Roman" w:eastAsia="Times New Roman" w:hAnsi="Times New Roman"/>
          <w:b w:val="1"/>
          <w:color w:val="000000"/>
          <w:sz w:val="26"/>
          <w:szCs w:val="26"/>
        </w:rPr>
      </w:pPr>
      <w:bookmarkStart w:colFirst="0" w:colLast="0" w:name="_a7a8lhg73zf5" w:id="3"/>
      <w:bookmarkEnd w:id="3"/>
      <w:r w:rsidDel="00000000" w:rsidR="00000000" w:rsidRPr="00000000">
        <w:rPr>
          <w:rFonts w:ascii="Times New Roman" w:cs="Times New Roman" w:eastAsia="Times New Roman" w:hAnsi="Times New Roman"/>
          <w:b w:val="1"/>
          <w:color w:val="000000"/>
          <w:sz w:val="26"/>
          <w:szCs w:val="26"/>
          <w:rtl w:val="0"/>
        </w:rPr>
        <w:t xml:space="preserve">Recommendation</w:t>
      </w:r>
    </w:p>
    <w:p w:rsidR="00000000" w:rsidDel="00000000" w:rsidP="00000000" w:rsidRDefault="00000000" w:rsidRPr="00000000" w14:paraId="0000002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evaluating all five platforms, Microsoft Azure is the best option for this financial organization. Azure offers strong identity management, continuous monitoring, and broad compliance coverage that includes FINRA and PCI DSS. The platform’s disaster recovery and backup features meet the company’s requirement for secure access even during emergencies. Azure also supports job based access controls and automated security alerts. These capabilities make Azure the most balanced and reliable solution for securing sensitive financial data while maintaining compliance and system availability.</w:t>
      </w:r>
    </w:p>
    <w:p w:rsidR="00000000" w:rsidDel="00000000" w:rsidP="00000000" w:rsidRDefault="00000000" w:rsidRPr="00000000" w14:paraId="00000023">
      <w:pPr>
        <w:pStyle w:val="Heading3"/>
        <w:keepNext w:val="0"/>
        <w:keepLines w:val="0"/>
        <w:widowControl w:val="0"/>
        <w:spacing w:before="280" w:line="480" w:lineRule="auto"/>
        <w:ind w:left="720"/>
        <w:jc w:val="center"/>
        <w:rPr>
          <w:rFonts w:ascii="Times New Roman" w:cs="Times New Roman" w:eastAsia="Times New Roman" w:hAnsi="Times New Roman"/>
          <w:b w:val="1"/>
          <w:color w:val="000000"/>
          <w:sz w:val="26"/>
          <w:szCs w:val="26"/>
        </w:rPr>
      </w:pPr>
      <w:bookmarkStart w:colFirst="0" w:colLast="0" w:name="_xefggotejpmt" w:id="4"/>
      <w:bookmarkEnd w:id="4"/>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2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to a cloud platform offers improved scalability, reliability, and data protection when implemented carefully. Selecting Microsoft Azure will allow the organization to meet its operational goals and compliance obligations while maintaining the trust of its customers. With consistent monitoring, automatic recovery, and secure role based access, Azure provides the foundation needed to protect sensitive financial information and ensure ongoing business continuity.</w:t>
      </w:r>
    </w:p>
    <w:p w:rsidR="00000000" w:rsidDel="00000000" w:rsidP="00000000" w:rsidRDefault="00000000" w:rsidRPr="00000000" w14:paraId="00000025">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widowControl w:val="0"/>
        <w:spacing w:before="280" w:line="480" w:lineRule="auto"/>
        <w:ind w:left="720"/>
        <w:rPr>
          <w:rFonts w:ascii="Times New Roman" w:cs="Times New Roman" w:eastAsia="Times New Roman" w:hAnsi="Times New Roman"/>
          <w:b w:val="1"/>
          <w:color w:val="000000"/>
          <w:sz w:val="26"/>
          <w:szCs w:val="26"/>
        </w:rPr>
      </w:pPr>
      <w:bookmarkStart w:colFirst="0" w:colLast="0" w:name="_1yvk0mcayjg3" w:id="5"/>
      <w:bookmarkEnd w:id="5"/>
      <w:r w:rsidDel="00000000" w:rsidR="00000000" w:rsidRPr="00000000">
        <w:rPr>
          <w:rtl w:val="0"/>
        </w:rPr>
      </w:r>
    </w:p>
    <w:p w:rsidR="00000000" w:rsidDel="00000000" w:rsidP="00000000" w:rsidRDefault="00000000" w:rsidRPr="00000000" w14:paraId="00000033">
      <w:pPr>
        <w:pStyle w:val="Heading3"/>
        <w:keepNext w:val="0"/>
        <w:keepLines w:val="0"/>
        <w:widowControl w:val="0"/>
        <w:spacing w:before="280" w:line="480" w:lineRule="auto"/>
        <w:ind w:left="720"/>
        <w:rPr>
          <w:rFonts w:ascii="Times New Roman" w:cs="Times New Roman" w:eastAsia="Times New Roman" w:hAnsi="Times New Roman"/>
          <w:b w:val="1"/>
          <w:color w:val="000000"/>
          <w:sz w:val="26"/>
          <w:szCs w:val="26"/>
        </w:rPr>
      </w:pPr>
      <w:bookmarkStart w:colFirst="0" w:colLast="0" w:name="_prwtzlwfa5ll" w:id="6"/>
      <w:bookmarkEnd w:id="6"/>
      <w:r w:rsidDel="00000000" w:rsidR="00000000" w:rsidRPr="00000000">
        <w:rPr>
          <w:rtl w:val="0"/>
        </w:rPr>
      </w:r>
    </w:p>
    <w:p w:rsidR="00000000" w:rsidDel="00000000" w:rsidP="00000000" w:rsidRDefault="00000000" w:rsidRPr="00000000" w14:paraId="00000034">
      <w:pPr>
        <w:pStyle w:val="Heading3"/>
        <w:keepNext w:val="0"/>
        <w:keepLines w:val="0"/>
        <w:widowControl w:val="0"/>
        <w:spacing w:before="280" w:line="480" w:lineRule="auto"/>
        <w:ind w:left="720"/>
        <w:rPr>
          <w:rFonts w:ascii="Times New Roman" w:cs="Times New Roman" w:eastAsia="Times New Roman" w:hAnsi="Times New Roman"/>
          <w:b w:val="1"/>
          <w:color w:val="000000"/>
          <w:sz w:val="26"/>
          <w:szCs w:val="26"/>
        </w:rPr>
      </w:pPr>
      <w:bookmarkStart w:colFirst="0" w:colLast="0" w:name="_oztru96bb34p" w:id="7"/>
      <w:bookmarkEnd w:id="7"/>
      <w:r w:rsidDel="00000000" w:rsidR="00000000" w:rsidRPr="00000000">
        <w:rPr>
          <w:rtl w:val="0"/>
        </w:rPr>
      </w:r>
    </w:p>
    <w:p w:rsidR="00000000" w:rsidDel="00000000" w:rsidP="00000000" w:rsidRDefault="00000000" w:rsidRPr="00000000" w14:paraId="00000035">
      <w:pPr>
        <w:pStyle w:val="Heading3"/>
        <w:keepNext w:val="0"/>
        <w:keepLines w:val="0"/>
        <w:widowControl w:val="0"/>
        <w:spacing w:before="280" w:line="480" w:lineRule="auto"/>
        <w:ind w:left="720"/>
        <w:jc w:val="center"/>
        <w:rPr>
          <w:rFonts w:ascii="Times New Roman" w:cs="Times New Roman" w:eastAsia="Times New Roman" w:hAnsi="Times New Roman"/>
          <w:b w:val="1"/>
          <w:color w:val="000000"/>
          <w:sz w:val="26"/>
          <w:szCs w:val="26"/>
        </w:rPr>
      </w:pPr>
      <w:bookmarkStart w:colFirst="0" w:colLast="0" w:name="_u3ylgv6cdpnc" w:id="8"/>
      <w:bookmarkEnd w:id="8"/>
      <w:r w:rsidDel="00000000" w:rsidR="00000000" w:rsidRPr="00000000">
        <w:rPr>
          <w:rFonts w:ascii="Times New Roman" w:cs="Times New Roman" w:eastAsia="Times New Roman" w:hAnsi="Times New Roman"/>
          <w:b w:val="1"/>
          <w:color w:val="000000"/>
          <w:sz w:val="26"/>
          <w:szCs w:val="26"/>
          <w:rtl w:val="0"/>
        </w:rPr>
        <w:t xml:space="preserve">References</w:t>
      </w:r>
    </w:p>
    <w:p w:rsidR="00000000" w:rsidDel="00000000" w:rsidP="00000000" w:rsidRDefault="00000000" w:rsidRPr="00000000" w14:paraId="00000036">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(2024). </w:t>
      </w:r>
      <w:r w:rsidDel="00000000" w:rsidR="00000000" w:rsidRPr="00000000">
        <w:rPr>
          <w:rFonts w:ascii="Times New Roman" w:cs="Times New Roman" w:eastAsia="Times New Roman" w:hAnsi="Times New Roman"/>
          <w:i w:val="1"/>
          <w:sz w:val="24"/>
          <w:szCs w:val="24"/>
          <w:rtl w:val="0"/>
        </w:rPr>
        <w:t xml:space="preserve">AWS compliance programs</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https://aws.amazon.com/compliance/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(2024). </w:t>
      </w:r>
      <w:r w:rsidDel="00000000" w:rsidR="00000000" w:rsidRPr="00000000">
        <w:rPr>
          <w:rFonts w:ascii="Times New Roman" w:cs="Times New Roman" w:eastAsia="Times New Roman" w:hAnsi="Times New Roman"/>
          <w:i w:val="1"/>
          <w:sz w:val="24"/>
          <w:szCs w:val="24"/>
          <w:rtl w:val="0"/>
        </w:rPr>
        <w:t xml:space="preserve">Compliance resource center</w:t>
      </w:r>
      <w:r w:rsidDel="00000000" w:rsidR="00000000" w:rsidRPr="00000000">
        <w:rPr>
          <w:rFonts w:ascii="Times New Roman" w:cs="Times New Roman" w:eastAsia="Times New Roman" w:hAnsi="Times New Roman"/>
          <w:sz w:val="24"/>
          <w:szCs w:val="24"/>
          <w:rtl w:val="0"/>
        </w:rPr>
        <w:t xml:space="preserve">. https://cloud.google.com/security/compliance</w:t>
      </w:r>
    </w:p>
    <w:p w:rsidR="00000000" w:rsidDel="00000000" w:rsidP="00000000" w:rsidRDefault="00000000" w:rsidRPr="00000000" w14:paraId="00000038">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 (2024). </w:t>
      </w:r>
      <w:r w:rsidDel="00000000" w:rsidR="00000000" w:rsidRPr="00000000">
        <w:rPr>
          <w:rFonts w:ascii="Times New Roman" w:cs="Times New Roman" w:eastAsia="Times New Roman" w:hAnsi="Times New Roman"/>
          <w:i w:val="1"/>
          <w:sz w:val="24"/>
          <w:szCs w:val="24"/>
          <w:rtl w:val="0"/>
        </w:rPr>
        <w:t xml:space="preserve">IBM Cloud compliance and security</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https://www.ibm.com/cloud/compliance</w:t>
        </w:r>
      </w:hyperlink>
      <w:r w:rsidDel="00000000" w:rsidR="00000000" w:rsidRPr="00000000">
        <w:rPr>
          <w:rtl w:val="0"/>
        </w:rPr>
      </w:r>
    </w:p>
    <w:p w:rsidR="00000000" w:rsidDel="00000000" w:rsidP="00000000" w:rsidRDefault="00000000" w:rsidRPr="00000000" w14:paraId="00000039">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 (2024). </w:t>
      </w:r>
      <w:r w:rsidDel="00000000" w:rsidR="00000000" w:rsidRPr="00000000">
        <w:rPr>
          <w:rFonts w:ascii="Times New Roman" w:cs="Times New Roman" w:eastAsia="Times New Roman" w:hAnsi="Times New Roman"/>
          <w:i w:val="1"/>
          <w:sz w:val="24"/>
          <w:szCs w:val="24"/>
          <w:rtl w:val="0"/>
        </w:rPr>
        <w:t xml:space="preserve">Microsoft compliance offerings</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https://learn.microsoft.com/en-us/compliance/</w:t>
        </w:r>
      </w:hyperlink>
      <w:r w:rsidDel="00000000" w:rsidR="00000000" w:rsidRPr="00000000">
        <w:rPr>
          <w:rtl w:val="0"/>
        </w:rPr>
      </w:r>
    </w:p>
    <w:p w:rsidR="00000000" w:rsidDel="00000000" w:rsidP="00000000" w:rsidRDefault="00000000" w:rsidRPr="00000000" w14:paraId="0000003A">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Cloud Infrastructure. (2024). </w:t>
      </w:r>
      <w:r w:rsidDel="00000000" w:rsidR="00000000" w:rsidRPr="00000000">
        <w:rPr>
          <w:rFonts w:ascii="Times New Roman" w:cs="Times New Roman" w:eastAsia="Times New Roman" w:hAnsi="Times New Roman"/>
          <w:i w:val="1"/>
          <w:sz w:val="24"/>
          <w:szCs w:val="24"/>
          <w:rtl w:val="0"/>
        </w:rPr>
        <w:t xml:space="preserve">Oracle Cloud security and compliance</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https://www.oracle.com/cloud/compliance/</w:t>
        </w:r>
      </w:hyperlink>
      <w:r w:rsidDel="00000000" w:rsidR="00000000" w:rsidRPr="00000000">
        <w:rPr>
          <w:rtl w:val="0"/>
        </w:rPr>
      </w:r>
    </w:p>
    <w:p w:rsidR="00000000" w:rsidDel="00000000" w:rsidP="00000000" w:rsidRDefault="00000000" w:rsidRPr="00000000" w14:paraId="0000003B">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compliance/" TargetMode="External"/><Relationship Id="rId10" Type="http://schemas.openxmlformats.org/officeDocument/2006/relationships/hyperlink" Target="https://learn.microsoft.com/en-us/compliance/" TargetMode="External"/><Relationship Id="rId13" Type="http://schemas.openxmlformats.org/officeDocument/2006/relationships/hyperlink" Target="https://www.oracle.com/cloud/compliance/" TargetMode="External"/><Relationship Id="rId12" Type="http://schemas.openxmlformats.org/officeDocument/2006/relationships/hyperlink" Target="https://www.oracle.com/cloud/compli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cloud/complianc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ws.amazon.com/compliance/" TargetMode="External"/><Relationship Id="rId7" Type="http://schemas.openxmlformats.org/officeDocument/2006/relationships/hyperlink" Target="https://aws.amazon.com/compliance/" TargetMode="External"/><Relationship Id="rId8" Type="http://schemas.openxmlformats.org/officeDocument/2006/relationships/hyperlink" Target="https://www.ibm.com/cloud/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