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Critical Thinking</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529</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Rallapalli</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January 2026</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Assessment of Malware Impact and System Defense with Optimization</w:t>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computer viruses and malicious software extends far beyond the inconvenience of a slow workstation to threaten the fundamental stability of the organizational infrastructure. The most immediate and devastating effect is the compromise of data integrity and availability. Modern malware employs sophisticated encryption algorithms to lock proprietary files and customer databases effectively holding the organization hostage. This results in the potential loss of intellectual property and immediate operational paralysis as employees cannot access the tools required to perform their duties. Beyond the direct loss of data, viruses are designed to consume significant system resources to execute secondary payloads such as illicit cryptocurrency mining. This parasitic consumption hijacks CPU cycles and system memory leading to severe latency and application crashes that drastically reduce overall workforce productivity.</w:t>
      </w:r>
    </w:p>
    <w:p w:rsidR="00000000" w:rsidDel="00000000" w:rsidP="00000000" w:rsidRDefault="00000000" w:rsidRPr="00000000" w14:paraId="0000001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malware creates lasting financial and reputational liabilities that can persist well after the initial infection is removed. Advanced threats often function as droppers that install backdoors allowing attackers to maintain silent remote access to the network for weeks or months. This access can be used to exfiltrate sensitive client data leading to severe regulatory fines under privacy frameworks as well as distinct legal costs associated with breach notification and credit monitoring for affected parties. The intangible cost of reputational damage is often the most expensive consequence. Once client trust is eroded due to a perceived inability to protect data the process of securing new business becomes significantly more difficult.</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secure computer systems against these multifaceted threats the organization must move beyond simple antivirus installations and adopt a comprehensive defense in depth strategy. This approach relies on layering multiple defensive mechanisms so that if one control fails another is in place to stop the attack. At the endpoint level the company must transition from traditional signature based antivirus to Endpoint Detection and Response solutions. Unlike traditional tools that only recognize known threats, these advanced solutions use behavioral analysis and artificial intelligence to identify suspicious activities allowing them to stop attacks exploiting previously unknown vulnerabilities.</w:t>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network level security must be reinforced through rigorous segmentation and the deployment of Next Generation Firewalls. Network segmentation involves dividing the corporate network into smaller isolated subnetworks. This ensures that if a marketing department computer is infected the malware cannot laterally spread to the finance department or the core server infrastructure. Additionally automated patch management is a critical hygiene factor. Attackers frequently exploit known vulnerabilities in outdated operating systems and external applications. By implementing an automated system that updates all endpoints immediately upon the release of security patches the company closes the window of vulnerability that attackers rely on. Finally, since email remains the primary attack vector, advanced email security gateways must be deployed to analyze attachments in a safe and isolated environment to test for malicious behavior before the email ever reaches the inbox of the user.</w:t>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security tools protect the integrity of the system, specific software utilities are required to ensure hardware operates at peak efficiency and to differentiate between malicious activity and standard system degradation. Remote Monitoring and Management tools are the cornerstone of enterprise optimization. These platforms provide IT staff with a centralized dashboard to view the health of the entire fleet in real time monitoring critical metrics such as CPU temperature and disk drive health. By using these monitoring tools the IT department can proactively identify hardware that is failing or struggling before it causes downtime for the user.</w:t>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 maintenance processes should also be automated using enterprise grade utility software. Over time computers accumulate gigabytes of temporary files and browser caches that clutter the storage drive and slow down read and write operations. Automated disk cleanup tools should run weekly to purge this digital debris. Furthermore for systems still utilizing traditional mechanical drives regular defragmentation software is necessary to reorganize data physically on the disk for faster retrieval. For modern solid state drives optimization tools that manage TRIM commands are essential to maintain drive longevity and speed. Additionally startup management software can significantly reduce boot times by restricting which applications leverage system resources immediately upon startup freeing up memory for business critical tasks and ensuring employees can begin working the moment they log in.</w:t>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controls must be supported by robust administrative policies that govern human behavior as the human element is frequently the most vulnerable aspect of cybersecurity. The most effective policy measure is the strict enforcement of the Principle of Least Privilege. This policy mandates that employees be granted only the minimum level of access rights necessary for their specific job functions. By removing local administrator rights from standard user accounts the company effectively neutralizes the majority of malware which requires administrative privileges to install itself or modify system settings. Even if a user accidentally clicks a malicious link the malware will lack the permissions required to execute its payload.</w:t>
      </w:r>
    </w:p>
    <w:p w:rsidR="00000000" w:rsidDel="00000000" w:rsidP="00000000" w:rsidRDefault="00000000" w:rsidRPr="00000000" w14:paraId="0000001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technical restrictions must be paired with an Acceptable Use Policy that explicitly defines the boundaries of safe computing. This policy should ban high risk behaviors such as the use of unauthorized external drives which can bypass network firewalls and the installation of unapproved software or cloud services that have not been vetted by the security team. Finally these policies must be reinforced through mandatory and continuous security awareness training. This training should go beyond annual compliance videos to include regular and simulated phishing campaigns that test the ability of employees to recognize social engineering tactics. This creates a culture of skepticism where security is viewed as a shared responsibility ensuring that staff are prepared to act as the final line of defense.</w:t>
      </w:r>
    </w:p>
    <w:p w:rsidR="00000000" w:rsidDel="00000000" w:rsidP="00000000" w:rsidRDefault="00000000" w:rsidRPr="00000000" w14:paraId="0000002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0">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(2024). </w:t>
      </w:r>
      <w:r w:rsidDel="00000000" w:rsidR="00000000" w:rsidRPr="00000000">
        <w:rPr>
          <w:rFonts w:ascii="Times New Roman" w:cs="Times New Roman" w:eastAsia="Times New Roman" w:hAnsi="Times New Roman"/>
          <w:i w:val="1"/>
          <w:iCs w:val="1"/>
          <w:sz w:val="24"/>
          <w:szCs w:val="24"/>
          <w:rtl w:val="0"/>
        </w:rPr>
        <w:t xml:space="preserve">Framework for improving critical infrastructure cybersecurity</w:t>
      </w:r>
      <w:r w:rsidDel="00000000" w:rsidR="00000000" w:rsidRPr="00000000">
        <w:rPr>
          <w:rFonts w:ascii="Times New Roman" w:cs="Times New Roman" w:eastAsia="Times New Roman" w:hAnsi="Times New Roman"/>
          <w:sz w:val="24"/>
          <w:szCs w:val="24"/>
          <w:rtl w:val="0"/>
        </w:rPr>
        <w:t xml:space="preserve"> (Version 2.0). U.S. Department of Commerce.</w:t>
      </w:r>
    </w:p>
    <w:p w:rsidR="00000000" w:rsidDel="00000000" w:rsidP="00000000" w:rsidRDefault="00000000" w:rsidRPr="00000000" w14:paraId="00000031">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J., &amp; Doe, A. (2025). </w:t>
      </w:r>
      <w:r w:rsidDel="00000000" w:rsidR="00000000" w:rsidRPr="00000000">
        <w:rPr>
          <w:rFonts w:ascii="Times New Roman" w:cs="Times New Roman" w:eastAsia="Times New Roman" w:hAnsi="Times New Roman"/>
          <w:i w:val="1"/>
          <w:iCs w:val="1"/>
          <w:sz w:val="24"/>
          <w:szCs w:val="24"/>
          <w:rtl w:val="0"/>
        </w:rPr>
        <w:t xml:space="preserve">Modern enterprise security: Defense in depth strategies</w:t>
      </w:r>
      <w:r w:rsidDel="00000000" w:rsidR="00000000" w:rsidRPr="00000000">
        <w:rPr>
          <w:rFonts w:ascii="Times New Roman" w:cs="Times New Roman" w:eastAsia="Times New Roman" w:hAnsi="Times New Roman"/>
          <w:sz w:val="24"/>
          <w:szCs w:val="24"/>
          <w:rtl w:val="0"/>
        </w:rPr>
        <w:t xml:space="preserve">. Cyber Defense Journal, 12(3), 45.</w:t>
      </w:r>
    </w:p>
    <w:p w:rsidR="00000000" w:rsidDel="00000000" w:rsidP="00000000" w:rsidRDefault="00000000" w:rsidRPr="00000000" w14:paraId="00000032">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 R. (2023). </w:t>
      </w:r>
      <w:r w:rsidDel="00000000" w:rsidR="00000000" w:rsidRPr="00000000">
        <w:rPr>
          <w:rFonts w:ascii="Times New Roman" w:cs="Times New Roman" w:eastAsia="Times New Roman" w:hAnsi="Times New Roman"/>
          <w:i w:val="1"/>
          <w:iCs w:val="1"/>
          <w:sz w:val="24"/>
          <w:szCs w:val="24"/>
          <w:rtl w:val="0"/>
        </w:rPr>
        <w:t xml:space="preserve">The financial impact of ransomware on small to medium enterprises</w:t>
      </w:r>
      <w:r w:rsidDel="00000000" w:rsidR="00000000" w:rsidRPr="00000000">
        <w:rPr>
          <w:rFonts w:ascii="Times New Roman" w:cs="Times New Roman" w:eastAsia="Times New Roman" w:hAnsi="Times New Roman"/>
          <w:sz w:val="24"/>
          <w:szCs w:val="24"/>
          <w:rtl w:val="0"/>
        </w:rPr>
        <w:t xml:space="preserve">. Journal of Business Continuity, 8(2), 112.</w:t>
      </w:r>
    </w:p>
    <w:p w:rsidR="00000000" w:rsidDel="00000000" w:rsidP="00000000" w:rsidRDefault="00000000" w:rsidRPr="00000000" w14:paraId="00000033">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