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Portfolio Milestone</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530 - Enterprise Cyber Security</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Rallapalli</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February 2026</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 Planning</w:t>
      </w:r>
      <w:r w:rsidDel="00000000" w:rsidR="00000000" w:rsidRPr="00000000">
        <w:rPr>
          <w:rtl w:val="0"/>
        </w:rPr>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security administrator for this organization, collaborating with the new Chief Information Officer (CIO) requires a strategic alignment of our modernization goals with robust, forward thinking cybersecurity principles. The primary objective of this project is to overhaul our legacy IT infrastructure, ensuring that our security posture evolves from a reactive state to a proactive, resilient framework. This comprehensive project encompasses planning, network access, access control, and security operations. This initial planning phase outlines the high level security challenges that must be addressed to modernize our security landscape, laying the groundwork for a secure technological transformation that supports business agility while mitigating emerging threats.</w:t>
      </w:r>
    </w:p>
    <w:p w:rsidR="00000000" w:rsidDel="00000000" w:rsidP="00000000" w:rsidRDefault="00000000" w:rsidRPr="00000000" w14:paraId="00000019">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high level challenges in modernizing our security landscape is the dissolution of the traditional network perimeter. Historically, organizations relied on a "castle-and-moat" approach, defending the external boundary while implicitly trusting internal traffic. However, with the rapid adoption of cloud computing, hybrid environments, and a distributed workforce, this model is obsolete. The modernization strategy must pivot toward a Zero Trust Architecture, which operates on the principle of "never trust, always verify." Transitioning to this model presents the challenge of mapping all data flows, identifying critical assets, and enforcing strict, identity based micro segmentation without disrupting daily business operations.</w:t>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increasing sophistication of cyber adversaries necessitates a modernization of our threat detection capabilities. Threat actors are utilizing automated tools and sophisticated algorithms to bypass traditional, signature based defenses. To counter this, our modernized security strategy must integrate artificial intelligence and machine learning (AI and ML) into our security operations. Applying advanced AI and ML models allows the organization to establish behavioral baselines and autonomously detect anomalous activities in real time. The primary challenge during this transition lies in seamlessly integrating these AI driven systems with our existing infrastructure and tuning them to minimize false positives, thereby empowering our security teams to respond to genuine threats with greater speed and precision.</w:t>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challenge involves securing the proliferation of endpoints and ensuring highly resilient communication channels across the enterprise. Drawing on principles of robust signal systems support and network integrity, it is vital to secure data both in transit and at rest across a highly varied device ecosystem. The modern technology environment includes mobile devices, unmanaged remote workstations, and expanding Internet of Things (IoT) hardware. Managing this exponentially expanded attack surface requires comprehensive Endpoint Detection and Response (EDR) solutions alongside a rigorous, automated patch management protocol. Moreover, modernizing our landscape means recognizing the human element as a critical vulnerability; developing a pervasive culture of security awareness is essential to defend against sophisticated social engineering campaigns that technical controls alone cannot stop.</w:t>
      </w:r>
    </w:p>
    <w:p w:rsidR="00000000" w:rsidDel="00000000" w:rsidP="00000000" w:rsidRDefault="00000000" w:rsidRPr="00000000" w14:paraId="0000001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modernizing the organization's IT infrastructure requires a strategic overhaul of our foundational security philosophies. By shifting to a Zero Trust model, integrating AI-driven threat detection, and securing our diverse endpoint ecosystem, we can successfully address the high-level challenges of today's dynamic cyber landscape. This planning phase establishes the critical priorities needed to support the CIO's vision for a resilient, agile enterprise. With these foundational challenges clearly identified and strategized, the organization is prepared to advance to the design and implementation of secure network access protocols in the subsequent phases of this modernization project.</w:t>
      </w:r>
    </w:p>
    <w:p w:rsidR="00000000" w:rsidDel="00000000" w:rsidP="00000000" w:rsidRDefault="00000000" w:rsidRPr="00000000" w14:paraId="0000001D">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(2020). </w:t>
      </w:r>
      <w:r w:rsidDel="00000000" w:rsidR="00000000" w:rsidRPr="00000000">
        <w:rPr>
          <w:rFonts w:ascii="Times New Roman" w:cs="Times New Roman" w:eastAsia="Times New Roman" w:hAnsi="Times New Roman"/>
          <w:i w:val="1"/>
          <w:iCs w:val="1"/>
          <w:sz w:val="24"/>
          <w:szCs w:val="24"/>
          <w:rtl w:val="0"/>
        </w:rPr>
        <w:t xml:space="preserve">Zero trust architecture</w:t>
      </w:r>
      <w:r w:rsidDel="00000000" w:rsidR="00000000" w:rsidRPr="00000000">
        <w:rPr>
          <w:rFonts w:ascii="Times New Roman" w:cs="Times New Roman" w:eastAsia="Times New Roman" w:hAnsi="Times New Roman"/>
          <w:sz w:val="24"/>
          <w:szCs w:val="24"/>
          <w:rtl w:val="0"/>
        </w:rPr>
        <w:t xml:space="preserve"> (NIST Special Publication 800-207). U.S. Department of Commerce.</w:t>
      </w:r>
    </w:p>
    <w:p w:rsidR="00000000" w:rsidDel="00000000" w:rsidP="00000000" w:rsidRDefault="00000000" w:rsidRPr="00000000" w14:paraId="0000001F">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Sarker, I. H., Kayes, A. S. M., Badsha, S., Alqahtani, H., Watters, P., &amp; Ng, A. (2020). Cybersecurity data science: An overview </w:t>
      </w:r>
      <w:r w:rsidDel="00000000" w:rsidR="00000000" w:rsidRPr="00000000">
        <w:rPr>
          <w:rFonts w:ascii="Times New Roman" w:cs="Times New Roman" w:eastAsia="Times New Roman" w:hAnsi="Times New Roman"/>
          <w:sz w:val="24"/>
          <w:szCs w:val="24"/>
          <w:rtl w:val="0"/>
        </w:rPr>
        <w:t xml:space="preserve">from machine</w:t>
      </w:r>
      <w:r w:rsidDel="00000000" w:rsidR="00000000" w:rsidRPr="00000000">
        <w:rPr>
          <w:rFonts w:ascii="Times New Roman" w:cs="Times New Roman" w:eastAsia="Times New Roman" w:hAnsi="Times New Roman"/>
          <w:sz w:val="24"/>
          <w:szCs w:val="24"/>
          <w:rtl w:val="0"/>
        </w:rPr>
        <w:t xml:space="preserve"> learning perspective. </w:t>
      </w:r>
      <w:r w:rsidDel="00000000" w:rsidR="00000000" w:rsidRPr="00000000">
        <w:rPr>
          <w:rFonts w:ascii="Times New Roman" w:cs="Times New Roman" w:eastAsia="Times New Roman" w:hAnsi="Times New Roman"/>
          <w:i w:val="1"/>
          <w:iCs w:val="1"/>
          <w:sz w:val="24"/>
          <w:szCs w:val="24"/>
          <w:rtl w:val="0"/>
        </w:rPr>
        <w:t xml:space="preserve">Journal of Big Data</w:t>
      </w:r>
      <w:r w:rsidDel="00000000" w:rsidR="00000000" w:rsidRPr="00000000">
        <w:rPr>
          <w:rFonts w:ascii="Times New Roman" w:cs="Times New Roman" w:eastAsia="Times New Roman" w:hAnsi="Times New Roman"/>
          <w:sz w:val="24"/>
          <w:szCs w:val="24"/>
          <w:rtl w:val="0"/>
        </w:rPr>
        <w:t xml:space="preserve">, 7(1), 41.</w:t>
      </w:r>
    </w:p>
    <w:p w:rsidR="00000000" w:rsidDel="00000000" w:rsidP="00000000" w:rsidRDefault="00000000" w:rsidRPr="00000000" w14:paraId="00000020">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Scharre, P., &amp; Horowitz, M. C. (2025). </w:t>
      </w:r>
      <w:r w:rsidDel="00000000" w:rsidR="00000000" w:rsidRPr="00000000">
        <w:rPr>
          <w:rFonts w:ascii="Times New Roman" w:cs="Times New Roman" w:eastAsia="Times New Roman" w:hAnsi="Times New Roman"/>
          <w:i w:val="1"/>
          <w:iCs w:val="1"/>
          <w:sz w:val="24"/>
          <w:szCs w:val="24"/>
          <w:rtl w:val="0"/>
        </w:rPr>
        <w:t xml:space="preserve">Artificial Intelligence: What Every Policymaker Needs to Know</w:t>
      </w:r>
      <w:r w:rsidDel="00000000" w:rsidR="00000000" w:rsidRPr="00000000">
        <w:rPr>
          <w:rFonts w:ascii="Times New Roman" w:cs="Times New Roman" w:eastAsia="Times New Roman" w:hAnsi="Times New Roman"/>
          <w:sz w:val="24"/>
          <w:szCs w:val="24"/>
          <w:rtl w:val="0"/>
        </w:rPr>
        <w:t xml:space="preserve">. Center for a New American Security.</w:t>
      </w:r>
    </w:p>
    <w:p w:rsidR="00000000" w:rsidDel="00000000" w:rsidP="00000000" w:rsidRDefault="00000000" w:rsidRPr="00000000" w14:paraId="00000021">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4">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