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8 : Portfolio Project </w:t>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Thompson</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530 - Enterprise Cyber Security</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Rallapalli</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April 2026</w:t>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widowControl w:val="0"/>
        <w:spacing w:before="28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3"/>
        <w:keepNext w:val="0"/>
        <w:keepLines w:val="0"/>
        <w:widowControl w:val="0"/>
        <w:spacing w:before="280" w:line="480" w:lineRule="auto"/>
        <w:jc w:val="center"/>
        <w:rPr>
          <w:rFonts w:ascii="Times New Roman" w:cs="Times New Roman" w:eastAsia="Times New Roman" w:hAnsi="Times New Roman"/>
          <w:b w:val="1"/>
          <w:bCs w:val="1"/>
          <w:color w:val="000000"/>
          <w:sz w:val="26"/>
          <w:szCs w:val="26"/>
        </w:rPr>
      </w:pPr>
      <w:bookmarkStart w:colFirst="0" w:colLast="0" w:name="_tlpl7gsb95a8" w:id="0"/>
      <w:bookmarkEnd w:id="0"/>
      <w:r w:rsidDel="00000000" w:rsidR="00000000" w:rsidRPr="00000000">
        <w:rPr>
          <w:rFonts w:ascii="Times New Roman" w:cs="Times New Roman" w:eastAsia="Times New Roman" w:hAnsi="Times New Roman"/>
          <w:b w:val="1"/>
          <w:bCs w:val="1"/>
          <w:color w:val="000000"/>
          <w:sz w:val="26"/>
          <w:szCs w:val="26"/>
          <w:rtl w:val="0"/>
        </w:rPr>
        <w:t xml:space="preserve">Introduction</w:t>
      </w:r>
    </w:p>
    <w:p w:rsidR="00000000" w:rsidDel="00000000" w:rsidP="00000000" w:rsidRDefault="00000000" w:rsidRPr="00000000" w14:paraId="00000018">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The rapid evolution of the digital landscape and the permanent shift towards decentralized work environments necessitate a fundamental transformation in how our organization approaches information security. Under the strategic guidance of the new Chief Information Officer, this comprehensive project plan outlines a visionary roadmap to modernize our IT infrastructure and fortify our defensive posture against increasingly sophisticated cyber threats. The primary objective of this initiative is to transition from legacy, perimeter-bound security models to a dynamic, resilient architecture capable of safely supporting a modern, distributed workforce. To accomplish this, the modernization effort is structured across four critical domains: strategic planning to identify high level challenges, secure network access solutions for remote and branch connectivity, robust identity-centric access control mechanisms, and the implementation of proactive security operations governed by industry standards. By systematically addressing these areas, the organization will not only mitigate emerging risks but also establish a secure, scalable foundation that actively enables business growth and operational agility.</w:t>
      </w:r>
      <w:r w:rsidDel="00000000" w:rsidR="00000000" w:rsidRPr="00000000">
        <w:rPr>
          <w:rtl w:val="0"/>
        </w:rPr>
      </w:r>
    </w:p>
    <w:p w:rsidR="00000000" w:rsidDel="00000000" w:rsidP="00000000" w:rsidRDefault="00000000" w:rsidRPr="00000000" w14:paraId="00000019">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 Planning</w:t>
      </w:r>
      <w:r w:rsidDel="00000000" w:rsidR="00000000" w:rsidRPr="00000000">
        <w:rPr>
          <w:rtl w:val="0"/>
        </w:rPr>
      </w:r>
    </w:p>
    <w:p w:rsidR="00000000" w:rsidDel="00000000" w:rsidP="00000000" w:rsidRDefault="00000000" w:rsidRPr="00000000" w14:paraId="0000001A">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As the security administrator for this organization, collaborating with the new Chief Information Officer (CIO) requires a strategic alignment of our modernization goals with robust, forward thinking cybersecurity principles. The primary objective of this project is to overhaul our legacy IT infrastructure, ensuring that our security posture evolves from a reactive state to a proactive, resilient framework. This comprehensive project encompasses planning, network access, access control, and security operations. This initial planning phase outlines the high level security challenges that must be addressed to modernize our security landscape, laying the groundwork for a secure technological transformation that supports business agility while mitigating emerging threats.</w:t>
      </w:r>
      <w:r w:rsidDel="00000000" w:rsidR="00000000" w:rsidRPr="00000000">
        <w:rPr>
          <w:rtl w:val="0"/>
        </w:rPr>
      </w:r>
    </w:p>
    <w:p w:rsidR="00000000" w:rsidDel="00000000" w:rsidP="00000000" w:rsidRDefault="00000000" w:rsidRPr="00000000" w14:paraId="0000001B">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One of the most significant high level challenges in modernizing our security landscape is the dissolution of the traditional network perimeter. Historically, organizations relied on a "castle-and-moat" approach, defending the external boundary while implicitly trusting internal traffic. However, with the rapid adoption of cloud computing, hybrid environments, and a distributed workforce, this model is obsolete. The modernization strategy must pivot toward a Zero Trust Architecture, which operates on the principle of "never trust, always verify." Transitioning to this model presents the challenge of mapping all data flows, identifying critical assets, and enforcing strict, identity based micro segmentation without disrupting daily business operations.</w:t>
      </w:r>
      <w:r w:rsidDel="00000000" w:rsidR="00000000" w:rsidRPr="00000000">
        <w:rPr>
          <w:rtl w:val="0"/>
        </w:rPr>
      </w:r>
    </w:p>
    <w:p w:rsidR="00000000" w:rsidDel="00000000" w:rsidP="00000000" w:rsidRDefault="00000000" w:rsidRPr="00000000" w14:paraId="0000001C">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The increasing sophistication of cyber adversaries necessitates a modernization of our threat detection capabilities. Threat actors are utilizing automated tools and sophisticated algorithms to bypass traditional, signature based defenses. To counter this, our modernized security strategy must integrate artificial intelligence and machine learning (AI and ML) into our security operations. Applying advanced AI and ML models allows the organization to establish behavioral baselines and autonomously detect anomalous activities in real time. The primary challenge during this transition lies in seamlessly integrating these AI driven systems with our existing infrastructure and tuning them to minimize false positives, thereby empowering our security teams to respond to genuine threats with greater speed and precision.</w:t>
      </w:r>
      <w:r w:rsidDel="00000000" w:rsidR="00000000" w:rsidRPr="00000000">
        <w:rPr>
          <w:rtl w:val="0"/>
        </w:rPr>
      </w:r>
    </w:p>
    <w:p w:rsidR="00000000" w:rsidDel="00000000" w:rsidP="00000000" w:rsidRDefault="00000000" w:rsidRPr="00000000" w14:paraId="0000001D">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critical challenge involves securing the proliferation of endpoints and ensuring highly resilient communication channels across the enterprise. Drawing on principles of robust signal systems support and network integrity, it is vital to secure data both in transit and at rest across a highly varied device ecosystem. The modern technology environment includes mobile devices, unmanaged remote workstations, and expanding Internet of Things (IoT) hardware. Managing this exponentially expanded attack surface requires comprehensive Endpoint Detection and Response (EDR) solutions alongside a rigorous, automated patch management protocol. Moreover, modernizing our landscape means recognizing the human element as a critical vulnerability; developing a pervasive culture of security awareness is essential to defend against sophisticated social engineering campaigns that technical controls alone cannot stop.</w:t>
      </w:r>
    </w:p>
    <w:p w:rsidR="00000000" w:rsidDel="00000000" w:rsidP="00000000" w:rsidRDefault="00000000" w:rsidRPr="00000000" w14:paraId="0000001E">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In conclusion, modernizing the organization's IT infrastructure requires a strategic overhaul of our foundational security philosophies. By shifting to a Zero Trust model, integrating AI driven threat detection, and securing our diverse endpoint ecosystem, we can successfully address the high level challenges of today's dynamic cyber landscape. This planning phase establishes the critical priorities needed to support the CIO's vision for a resilient, agile enterprise. With these foundational challenges clearly identified and strategized, the organization is prepared to advance to the design and implementation of secure network access protocols in the subsequent phases of this modernization project.</w:t>
      </w:r>
      <w:r w:rsidDel="00000000" w:rsidR="00000000" w:rsidRPr="00000000">
        <w:rPr>
          <w:rtl w:val="0"/>
        </w:rPr>
      </w:r>
    </w:p>
    <w:p w:rsidR="00000000" w:rsidDel="00000000" w:rsidP="00000000" w:rsidRDefault="00000000" w:rsidRPr="00000000" w14:paraId="0000001F">
      <w:pPr>
        <w:widowControl w:val="0"/>
        <w:spacing w:after="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 Network Access</w:t>
      </w:r>
    </w:p>
    <w:p w:rsidR="00000000" w:rsidDel="00000000" w:rsidP="00000000" w:rsidRDefault="00000000" w:rsidRPr="00000000" w14:paraId="00000020">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In the current landscape of cloud centric operations, the Chief Information Officer (CIO) faces the dual challenge of enabling a seamless remote workforce while maintaining a rigid security posture. The primary objective is to facilitate access to cloud resources without the inherent risks associated with exposing application ports to the public internet, while simultaneously ensuring that remote branch offices maintain persistent, reliable connectivity to the corporate headquarters. To achieve this, the organization must move away from legacy perimeter based security and adopt a framework rooted in Zero Trust Network Access (ZTNA) and Software Defined Wide Area Networking (SD-WAN).</w:t>
      </w:r>
      <w:r w:rsidDel="00000000" w:rsidR="00000000" w:rsidRPr="00000000">
        <w:rPr>
          <w:rtl w:val="0"/>
        </w:rPr>
      </w:r>
    </w:p>
    <w:p w:rsidR="00000000" w:rsidDel="00000000" w:rsidP="00000000" w:rsidRDefault="00000000" w:rsidRPr="00000000" w14:paraId="00000021">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To meet the requirement of connecting remote workers to cloud workloads without exposing application ports, the organization should implement a Zero Trust Network Access (ZTNA) solution, often delivered via a Software Defined Perimeter (SDP). Unlike a traditional Virtual Private Network (VPN) that grants a user broad access to a network segment, ZTNA operates on the principle of "least privilege," granting access only to specific applications after rigorous identity and device verification.</w:t>
      </w:r>
      <w:r w:rsidDel="00000000" w:rsidR="00000000" w:rsidRPr="00000000">
        <w:rPr>
          <w:rtl w:val="0"/>
        </w:rPr>
      </w:r>
    </w:p>
    <w:p w:rsidR="00000000" w:rsidDel="00000000" w:rsidP="00000000" w:rsidRDefault="00000000" w:rsidRPr="00000000" w14:paraId="00000022">
      <w:pPr>
        <w:widowControl w:val="0"/>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second requirement, ensuring remote branch offices stay "always connected" to the headquarters. Thus, the most effective solution is Software Defined Wide Area Networking (SD-WAN). Traditional branch connectivity often relied on expensive, rigid MPLS circuits. SD-WAN abstracts the underlying hardware and uses software to manage multiple connection types, including broadband internet, 5G, and LTE, to create a virtualized overlay.</w:t>
      </w:r>
    </w:p>
    <w:p w:rsidR="00000000" w:rsidDel="00000000" w:rsidP="00000000" w:rsidRDefault="00000000" w:rsidRPr="00000000" w14:paraId="00000023">
      <w:pPr>
        <w:widowControl w:val="0"/>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SD-WAN provides "always on" connectivity through dynamic path selection. If a primary internet link fails or experiences high latency, the SD-WAN appliance automatically reroutes traffic to an alternative path without dropping the session. This ensures that the branch to headquarters tunnel remains persistent. Furthermore, for the actual encrypted transport, the organization should utilize IPsec Site to Site VPN tunnels managed by the SD-WAN controller. This provides a secure, encrypted "bridge" between the local area network (LAN) of the branch office and the LAN of the headquarters, allowing for seamless resource sharing as if the offices were physically connected.</w:t>
      </w:r>
    </w:p>
    <w:p w:rsidR="00000000" w:rsidDel="00000000" w:rsidP="00000000" w:rsidRDefault="00000000" w:rsidRPr="00000000" w14:paraId="00000024">
      <w:pPr>
        <w:widowControl w:val="0"/>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deploying ZTNA for individual remote workers and SD-WAN for branch offices, the CIO can achieve a secure, high performance network. ZTNA eliminates the risk of exposed ports by using identity based brokering, while SD-WAN ensures the resiliency and persistence required for geographically dispersed offices. Together, these technologies modernize the infrastructure to support a secure and flexible "work from anywhere" environment.</w:t>
      </w:r>
    </w:p>
    <w:p w:rsidR="00000000" w:rsidDel="00000000" w:rsidP="00000000" w:rsidRDefault="00000000" w:rsidRPr="00000000" w14:paraId="00000025">
      <w:pPr>
        <w:widowControl w:val="0"/>
        <w:spacing w:line="480" w:lineRule="auto"/>
        <w:ind w:lef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 Access Control</w:t>
      </w:r>
    </w:p>
    <w:p w:rsidR="00000000" w:rsidDel="00000000" w:rsidP="00000000" w:rsidRDefault="00000000" w:rsidRPr="00000000" w14:paraId="00000026">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successfully modernize the organization's security posture and support the CIO's vision, our access control strategy must fundamentally shift the defensive perimeter away from the traditional corporate firewall directly to the user's identity. A comprehensive Identity and Access Management system is non-negotiable for handling the full lifecycle of employee credentials. This system must automate the provisioning process when an employee is hired, ensuring they have immediate access to necessary tools, while crucially guaranteeing instant deprovisioning upon their departure to eliminate the severe risk of orphaned accounts. Building on this identity foundation, authentication methods must be significantly upgraded. Traditional passwords and even simple SMS-based multi-factor authentication are highly vulnerable to modern phishing and adversary-in-the-middle attacks. Therefore, the organization must enforce phishing-resistant multi-factor authentication, utilizing hardware security keys or biometric verifications, for every single access request.</w:t>
      </w:r>
    </w:p>
    <w:p w:rsidR="00000000" w:rsidDel="00000000" w:rsidP="00000000" w:rsidRDefault="00000000" w:rsidRPr="00000000" w14:paraId="00000027">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initial authentication, enforcing the principle of least privilege is paramount to a resilient security landscape. Users must only be granted the absolute minimum level of access required to execute their specific daily job duties. This strategy contains potential breaches by drastically limiting an attacker's ability to move laterally across the network if a single user account is compromised. To maintain this strict access hygiene, the organization should implement regular, automated access reviews to revoke permissions that are no longer needed. Furthermore, access control can no longer be treated as a static, one-time verification at the login screen. We must deploy continuous authentication and monitoring tools, such as User and Entity Behavior Analytics, to establish a baseline of normal activity. By constantly analyzing access logs and behavioral patterns, the security operations team can instantly detect and isolate anomalies, such as impossible travel logins or sudden mass file downloads, which often indicate an insider threat or stolen credentials.</w:t>
      </w:r>
    </w:p>
    <w:p w:rsidR="00000000" w:rsidDel="00000000" w:rsidP="00000000" w:rsidRDefault="00000000" w:rsidRPr="00000000" w14:paraId="00000028">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effectively secure both our remote workforce and internal office personnel, I recommend implementing a highly integrated hybrid access model that combines Role-Based Access Control with dynamic Conditional Access Policies. Role-Based Access Control will serve as our foundation by tying permissions directly to defined job functions rather than assigning them to individual users. When an employee transitions to a new department, their access rights automatically shift to match their new role, which reduces administrative overhead, prevents permission creep, and ensures clean audit trails. However, because role-based models are inherently static, they must be augmented with Conditional Access Policies to address the unpredictable nature of a hybrid workforce. These attribute-based controls act as an intelligent gateway, evaluating real-time contextual signals before granting access to sensitive resources. For example, the system will assess the user's geographic location, determine if they are connecting from a secure corporate network or a vulnerable public Wi-Fi hotspot, and verify that their device is managed by the organization and running active, up-to-date endpoint protection.</w:t>
      </w:r>
    </w:p>
    <w:p w:rsidR="00000000" w:rsidDel="00000000" w:rsidP="00000000" w:rsidRDefault="00000000" w:rsidRPr="00000000" w14:paraId="00000029">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By synthesizing these access controls, the organization will successfully achieve a true Zero Trust Architecture. The core philosophy of this model is to never inherently trust any user or device, regardless of whether they are sitting inside the corporate headquarters or working remotely. Every single request for access must be continuously and rigorously verified. Furthermore, rather than granting authenticated users broad, uninhibited access to the underlying corporate network, this model establishes secure, application specific connections. This completely obfuscates the rest of the network infrastructure from the end user, drastically reducing the organization's overall attack surface and ensuring that a compromised remote device cannot be used as a bridgehead to infect the wider corporate environment.</w:t>
      </w:r>
      <w:r w:rsidDel="00000000" w:rsidR="00000000" w:rsidRPr="00000000">
        <w:rPr>
          <w:rtl w:val="0"/>
        </w:rPr>
      </w:r>
    </w:p>
    <w:p w:rsidR="00000000" w:rsidDel="00000000" w:rsidP="00000000" w:rsidRDefault="00000000" w:rsidRPr="00000000" w14:paraId="0000002A">
      <w:pPr>
        <w:widowControl w:val="0"/>
        <w:spacing w:line="480" w:lineRule="auto"/>
        <w:ind w:lef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 Security Operations</w:t>
      </w:r>
    </w:p>
    <w:p w:rsidR="00000000" w:rsidDel="00000000" w:rsidP="00000000" w:rsidRDefault="00000000" w:rsidRPr="00000000" w14:paraId="0000002B">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To ensure that the organization's modernized security posture is rigorously maintained and continuous compliance is achieved, I highly recommend adopting a hybrid approach utilizing the National Institute of Standards and Technology Cybersecurity Framework alongside the Center for Internet Security Critical Security Controls. The NIST framework provides a comprehensive, high-level strategic methodology built around core functions such as identify, protect, detect, respond, and recover. This structure allows the CIO to communicate our security maturity in a language that the broader executive board can easily understand and support. Complementing this strategic view, the CIS Controls offer highly specific, prioritized technical safeguards designed to defend against the most pervasive and dangerous real world cyber threats. By mapping our internal policies directly to these universally recognized frameworks, we establish a verifiable baseline for security operations that is both legally defensible and operationally resilient. Furthermore, adopting the CIS Implementation Groups allows us to phase in these technical controls logically, starting with basic cyber hygiene before advancing to complex organizational safeguards, ensuring the transition does not overwhelm our daily operational capabilities.</w:t>
      </w:r>
      <w:r w:rsidDel="00000000" w:rsidR="00000000" w:rsidRPr="00000000">
        <w:rPr>
          <w:rtl w:val="0"/>
        </w:rPr>
      </w:r>
    </w:p>
    <w:p w:rsidR="00000000" w:rsidDel="00000000" w:rsidP="00000000" w:rsidRDefault="00000000" w:rsidRPr="00000000" w14:paraId="0000002C">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Implementing these robust standards requires a fundamental transition from reactive, manual log monitoring to a proactive, automated defense architecture. I would execute this recommendation by deploying a cloud native Security Information and Event Management platform tightly integrated with Security Orchestration, Automation, and Response capabilities. In a modern hybrid environment, the sheer volume of telemetry data generated by remote endpoints, cloud workloads, and internal network devices makes traditional human analysis impossible. This modernized infrastructure will utilize machine learning algorithms and User and Entity Behavior Analytics to establish baseline behavioral profiles and autonomously detect subtle, stealthy anomalies that traditional signature based tools frequently miss. The orchestration component will then continuously enforce our chosen security standards by instantly executing predefined, automated playbooks for common threats. For example, if the system detects behaviors indicative of ransomware or a compromised user credential, the automated playbook can instantly isolate the infected workstation from the network, revoke the user's active session tokens, and alert the on-call incident responder. This drastically reduces our response times and frees up our highly skilled security operations team to focus on proactive threat hunting and strategic architecture improvements.</w:t>
      </w:r>
      <w:r w:rsidDel="00000000" w:rsidR="00000000" w:rsidRPr="00000000">
        <w:rPr>
          <w:rtl w:val="0"/>
        </w:rPr>
      </w:r>
    </w:p>
    <w:p w:rsidR="00000000" w:rsidDel="00000000" w:rsidP="00000000" w:rsidRDefault="00000000" w:rsidRPr="00000000" w14:paraId="0000002D">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To provide the CIO and CISO with clear, continuous visibility into our security posture, I will generate a comprehensive weekly executive security report focused on actionable intelligence and business risk rather than overwhelming raw data dumps. This report will be carefully structured to address both strategic and tactical needs. Strategically, it will highlight key performance indicators such as our Mean Time to Detect and Mean Time to Respond to incidents, providing a quantifiable, trend based measure of our operational efficiency over time. Tactically, it will include a summary of the week's most significant blocked threats, an overview of our current vulnerability management status including critical patch compliance rates across the enterprise, and an audit of any specific deviations from our established framework baselines. By presenting these specific metrics, we effectively translate technical cybersecurity data into actionable business intelligence. This empowers leadership to continuously verify that security standards are being rigorously enforced, clearly justify the return on investment for recent security expenditures, and make informed, data driven decisions regarding future IT budget allocations and resource planning.</w:t>
      </w:r>
      <w:r w:rsidDel="00000000" w:rsidR="00000000" w:rsidRPr="00000000">
        <w:rPr>
          <w:rtl w:val="0"/>
        </w:rPr>
      </w:r>
    </w:p>
    <w:p w:rsidR="00000000" w:rsidDel="00000000" w:rsidP="00000000" w:rsidRDefault="00000000" w:rsidRPr="00000000" w14:paraId="0000002E">
      <w:pPr>
        <w:pStyle w:val="Heading3"/>
        <w:keepNext w:val="0"/>
        <w:keepLines w:val="0"/>
        <w:widowControl w:val="0"/>
        <w:spacing w:before="280" w:line="480" w:lineRule="auto"/>
        <w:ind w:left="0" w:firstLine="0"/>
        <w:jc w:val="center"/>
        <w:rPr>
          <w:rFonts w:ascii="Times New Roman" w:cs="Times New Roman" w:eastAsia="Times New Roman" w:hAnsi="Times New Roman"/>
          <w:b w:val="1"/>
          <w:bCs w:val="1"/>
          <w:color w:val="000000"/>
          <w:sz w:val="26"/>
          <w:szCs w:val="26"/>
        </w:rPr>
      </w:pPr>
      <w:bookmarkStart w:colFirst="0" w:colLast="0" w:name="_2b0r7ixl2lv" w:id="1"/>
      <w:bookmarkEnd w:id="1"/>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2F">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modernizing the organization's security infrastructure is not merely a technical upgrade, but a critical strategic imperative essential for ensuring long-term operational resilience. By executing this comprehensive plan, we are effectively dismantling outdated defenses and replacing them with a proactive, zero-trust security ecosystem. The integration of secure cloud connectivity tools, rigorous access control strategies, and standardized security operations will provide leadership with unparalleled visibility and protection across the entire enterprise. Ultimately, this strategic transformation fulfills the Chief Information Officer's vision by fostering a secure, compliant, and highly agile environment where remote workers and branch offices can collaborate seamlessly. The resulting architecture will continuously safeguard the organization's most valuable digital assets while remaining highly adaptable to the inevitable evolution of future technological challenges.</w:t>
      </w:r>
    </w:p>
    <w:p w:rsidR="00000000" w:rsidDel="00000000" w:rsidP="00000000" w:rsidRDefault="00000000" w:rsidRPr="00000000" w14:paraId="00000030">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480" w:lineRule="auto"/>
        <w:ind w:left="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480" w:lineRule="auto"/>
        <w:ind w:left="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480" w:lineRule="auto"/>
        <w:ind w:left="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480" w:lineRule="auto"/>
        <w:ind w:left="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480" w:lineRule="auto"/>
        <w:ind w:left="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480" w:lineRule="auto"/>
        <w:ind w:left="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480" w:lineRule="auto"/>
        <w:ind w:left="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480" w:lineRule="auto"/>
        <w:ind w:left="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(2020). </w:t>
      </w:r>
      <w:r w:rsidDel="00000000" w:rsidR="00000000" w:rsidRPr="00000000">
        <w:rPr>
          <w:rFonts w:ascii="Times New Roman" w:cs="Times New Roman" w:eastAsia="Times New Roman" w:hAnsi="Times New Roman"/>
          <w:i w:val="1"/>
          <w:iCs w:val="1"/>
          <w:sz w:val="24"/>
          <w:szCs w:val="24"/>
          <w:rtl w:val="0"/>
        </w:rPr>
        <w:t xml:space="preserve">Zero trust architecture</w:t>
      </w:r>
      <w:r w:rsidDel="00000000" w:rsidR="00000000" w:rsidRPr="00000000">
        <w:rPr>
          <w:rFonts w:ascii="Times New Roman" w:cs="Times New Roman" w:eastAsia="Times New Roman" w:hAnsi="Times New Roman"/>
          <w:sz w:val="24"/>
          <w:szCs w:val="24"/>
          <w:rtl w:val="0"/>
        </w:rPr>
        <w:t xml:space="preserve"> (NIST Special Publication 800-207). U.S. Department of Commerce.</w:t>
      </w:r>
    </w:p>
    <w:p w:rsidR="00000000" w:rsidDel="00000000" w:rsidP="00000000" w:rsidRDefault="00000000" w:rsidRPr="00000000" w14:paraId="0000003B">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Sarker, I. H., Kayes, A. S. M., Badsha, S., Alqahtani, H., Watters, P., &amp; Ng, A. (2020). Cybersecurity data science: An overview </w:t>
      </w:r>
      <w:r w:rsidDel="00000000" w:rsidR="00000000" w:rsidRPr="00000000">
        <w:rPr>
          <w:rFonts w:ascii="Times New Roman" w:cs="Times New Roman" w:eastAsia="Times New Roman" w:hAnsi="Times New Roman"/>
          <w:sz w:val="24"/>
          <w:szCs w:val="24"/>
          <w:rtl w:val="0"/>
        </w:rPr>
        <w:t xml:space="preserve">from machine</w:t>
      </w:r>
      <w:r w:rsidDel="00000000" w:rsidR="00000000" w:rsidRPr="00000000">
        <w:rPr>
          <w:rFonts w:ascii="Times New Roman" w:cs="Times New Roman" w:eastAsia="Times New Roman" w:hAnsi="Times New Roman"/>
          <w:sz w:val="24"/>
          <w:szCs w:val="24"/>
          <w:rtl w:val="0"/>
        </w:rPr>
        <w:t xml:space="preserve"> learning perspective. </w:t>
      </w:r>
      <w:r w:rsidDel="00000000" w:rsidR="00000000" w:rsidRPr="00000000">
        <w:rPr>
          <w:rFonts w:ascii="Times New Roman" w:cs="Times New Roman" w:eastAsia="Times New Roman" w:hAnsi="Times New Roman"/>
          <w:i w:val="1"/>
          <w:iCs w:val="1"/>
          <w:sz w:val="24"/>
          <w:szCs w:val="24"/>
          <w:rtl w:val="0"/>
        </w:rPr>
        <w:t xml:space="preserve">Journal of Big Data</w:t>
      </w:r>
      <w:r w:rsidDel="00000000" w:rsidR="00000000" w:rsidRPr="00000000">
        <w:rPr>
          <w:rFonts w:ascii="Times New Roman" w:cs="Times New Roman" w:eastAsia="Times New Roman" w:hAnsi="Times New Roman"/>
          <w:sz w:val="24"/>
          <w:szCs w:val="24"/>
          <w:rtl w:val="0"/>
        </w:rPr>
        <w:t xml:space="preserve">, 7(1), 41.</w:t>
      </w:r>
    </w:p>
    <w:p w:rsidR="00000000" w:rsidDel="00000000" w:rsidP="00000000" w:rsidRDefault="00000000" w:rsidRPr="00000000" w14:paraId="0000003C">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Scharre, P., &amp; Horowitz, M. C. (2025). </w:t>
      </w:r>
      <w:r w:rsidDel="00000000" w:rsidR="00000000" w:rsidRPr="00000000">
        <w:rPr>
          <w:rFonts w:ascii="Times New Roman" w:cs="Times New Roman" w:eastAsia="Times New Roman" w:hAnsi="Times New Roman"/>
          <w:i w:val="1"/>
          <w:iCs w:val="1"/>
          <w:sz w:val="24"/>
          <w:szCs w:val="24"/>
          <w:rtl w:val="0"/>
        </w:rPr>
        <w:t xml:space="preserve">Artificial Intelligence: What Every Policymaker Needs to Know</w:t>
      </w:r>
      <w:r w:rsidDel="00000000" w:rsidR="00000000" w:rsidRPr="00000000">
        <w:rPr>
          <w:rFonts w:ascii="Times New Roman" w:cs="Times New Roman" w:eastAsia="Times New Roman" w:hAnsi="Times New Roman"/>
          <w:sz w:val="24"/>
          <w:szCs w:val="24"/>
          <w:rtl w:val="0"/>
        </w:rPr>
        <w:t xml:space="preserve">. Center for a New American Security.</w:t>
      </w:r>
    </w:p>
    <w:p w:rsidR="00000000" w:rsidDel="00000000" w:rsidP="00000000" w:rsidRDefault="00000000" w:rsidRPr="00000000" w14:paraId="0000003D">
      <w:pPr>
        <w:widowControl w:val="0"/>
        <w:spacing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Gartner. (2023). </w:t>
      </w:r>
      <w:r w:rsidDel="00000000" w:rsidR="00000000" w:rsidRPr="00000000">
        <w:rPr>
          <w:rFonts w:ascii="Times New Roman" w:cs="Times New Roman" w:eastAsia="Times New Roman" w:hAnsi="Times New Roman"/>
          <w:i w:val="1"/>
          <w:iCs w:val="1"/>
          <w:sz w:val="24"/>
          <w:szCs w:val="24"/>
          <w:rtl w:val="0"/>
        </w:rPr>
        <w:t xml:space="preserve">Magic Quadrant for Single-Vendor SASE</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https://www.gartner.com/</w:t>
        </w:r>
      </w:hyperlink>
      <w:r w:rsidDel="00000000" w:rsidR="00000000" w:rsidRPr="00000000">
        <w:rPr>
          <w:rtl w:val="0"/>
        </w:rPr>
      </w:r>
    </w:p>
    <w:p w:rsidR="00000000" w:rsidDel="00000000" w:rsidP="00000000" w:rsidRDefault="00000000" w:rsidRPr="00000000" w14:paraId="0000003E">
      <w:pPr>
        <w:widowControl w:val="0"/>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Gillis, A. S. (2022). </w:t>
      </w:r>
      <w:r w:rsidDel="00000000" w:rsidR="00000000" w:rsidRPr="00000000">
        <w:rPr>
          <w:rFonts w:ascii="Times New Roman" w:cs="Times New Roman" w:eastAsia="Times New Roman" w:hAnsi="Times New Roman"/>
          <w:i w:val="1"/>
          <w:iCs w:val="1"/>
          <w:sz w:val="24"/>
          <w:szCs w:val="24"/>
          <w:rtl w:val="0"/>
        </w:rPr>
        <w:t xml:space="preserve">Zero Trust Network Access (ZTNA)</w:t>
      </w:r>
      <w:r w:rsidDel="00000000" w:rsidR="00000000" w:rsidRPr="00000000">
        <w:rPr>
          <w:rFonts w:ascii="Times New Roman" w:cs="Times New Roman" w:eastAsia="Times New Roman" w:hAnsi="Times New Roman"/>
          <w:sz w:val="24"/>
          <w:szCs w:val="24"/>
          <w:rtl w:val="0"/>
        </w:rPr>
        <w:t xml:space="preserve">. TechTarget.</w:t>
      </w:r>
    </w:p>
    <w:p w:rsidR="00000000" w:rsidDel="00000000" w:rsidP="00000000" w:rsidRDefault="00000000" w:rsidRPr="00000000" w14:paraId="0000003F">
      <w:pPr>
        <w:widowControl w:val="0"/>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(2020). </w:t>
      </w:r>
      <w:r w:rsidDel="00000000" w:rsidR="00000000" w:rsidRPr="00000000">
        <w:rPr>
          <w:rFonts w:ascii="Times New Roman" w:cs="Times New Roman" w:eastAsia="Times New Roman" w:hAnsi="Times New Roman"/>
          <w:i w:val="1"/>
          <w:iCs w:val="1"/>
          <w:sz w:val="24"/>
          <w:szCs w:val="24"/>
          <w:rtl w:val="0"/>
        </w:rPr>
        <w:t xml:space="preserve">Zero Trust Architecture</w:t>
      </w:r>
      <w:r w:rsidDel="00000000" w:rsidR="00000000" w:rsidRPr="00000000">
        <w:rPr>
          <w:rFonts w:ascii="Times New Roman" w:cs="Times New Roman" w:eastAsia="Times New Roman" w:hAnsi="Times New Roman"/>
          <w:sz w:val="24"/>
          <w:szCs w:val="24"/>
          <w:rtl w:val="0"/>
        </w:rPr>
        <w:t xml:space="preserve"> (Special Publication 800-207). National Institute of Standards and Technology.</w:t>
      </w:r>
    </w:p>
    <w:p w:rsidR="00000000" w:rsidDel="00000000" w:rsidP="00000000" w:rsidRDefault="00000000" w:rsidRPr="00000000" w14:paraId="00000040">
      <w:pPr>
        <w:widowControl w:val="0"/>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Palo Alto Networks. (2024). </w:t>
      </w:r>
      <w:r w:rsidDel="00000000" w:rsidR="00000000" w:rsidRPr="00000000">
        <w:rPr>
          <w:rFonts w:ascii="Times New Roman" w:cs="Times New Roman" w:eastAsia="Times New Roman" w:hAnsi="Times New Roman"/>
          <w:i w:val="1"/>
          <w:iCs w:val="1"/>
          <w:sz w:val="24"/>
          <w:szCs w:val="24"/>
          <w:rtl w:val="0"/>
        </w:rPr>
        <w:t xml:space="preserve">What is SD-WAN? Architecture and Benefits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widowControl w:val="0"/>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Cybersecurity and Infrastructure Security Agency. (2023). </w:t>
      </w:r>
      <w:r w:rsidDel="00000000" w:rsidR="00000000" w:rsidRPr="00000000">
        <w:rPr>
          <w:rFonts w:ascii="Times New Roman" w:cs="Times New Roman" w:eastAsia="Times New Roman" w:hAnsi="Times New Roman"/>
          <w:i w:val="1"/>
          <w:iCs w:val="1"/>
          <w:sz w:val="24"/>
          <w:szCs w:val="24"/>
          <w:rtl w:val="0"/>
        </w:rPr>
        <w:t xml:space="preserve">Zero trust maturity model</w:t>
      </w:r>
      <w:r w:rsidDel="00000000" w:rsidR="00000000" w:rsidRPr="00000000">
        <w:rPr>
          <w:rFonts w:ascii="Times New Roman" w:cs="Times New Roman" w:eastAsia="Times New Roman" w:hAnsi="Times New Roman"/>
          <w:sz w:val="24"/>
          <w:szCs w:val="24"/>
          <w:rtl w:val="0"/>
        </w:rPr>
        <w:t xml:space="preserve"> (Version 2.0). Department of Homeland Security.</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https://www.cisa.gov/zero-trust-maturity-model</w:t>
        </w:r>
      </w:hyperlink>
      <w:r w:rsidDel="00000000" w:rsidR="00000000" w:rsidRPr="00000000">
        <w:rPr>
          <w:rtl w:val="0"/>
        </w:rPr>
      </w:r>
    </w:p>
    <w:p w:rsidR="00000000" w:rsidDel="00000000" w:rsidP="00000000" w:rsidRDefault="00000000" w:rsidRPr="00000000" w14:paraId="00000042">
      <w:pPr>
        <w:widowControl w:val="0"/>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Ferraiolo, D. F., Sandhu, R., Gavrila, S., Kuhn, D. R., &amp; Chandramouli, R. (2001). </w:t>
      </w:r>
      <w:r w:rsidDel="00000000" w:rsidR="00000000" w:rsidRPr="00000000">
        <w:rPr>
          <w:rFonts w:ascii="Times New Roman" w:cs="Times New Roman" w:eastAsia="Times New Roman" w:hAnsi="Times New Roman"/>
          <w:i w:val="1"/>
          <w:iCs w:val="1"/>
          <w:sz w:val="24"/>
          <w:szCs w:val="24"/>
          <w:rtl w:val="0"/>
        </w:rPr>
        <w:t xml:space="preserve">Proposed NIST standard for role-based access control</w:t>
      </w:r>
      <w:r w:rsidDel="00000000" w:rsidR="00000000" w:rsidRPr="00000000">
        <w:rPr>
          <w:rFonts w:ascii="Times New Roman" w:cs="Times New Roman" w:eastAsia="Times New Roman" w:hAnsi="Times New Roman"/>
          <w:sz w:val="24"/>
          <w:szCs w:val="24"/>
          <w:rtl w:val="0"/>
        </w:rPr>
        <w:t xml:space="preserve">. ACM Transactions on Information and System Security, 4(3), 224-274.</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https://doi.org/10.1145/501978.501980</w:t>
        </w:r>
      </w:hyperlink>
      <w:r w:rsidDel="00000000" w:rsidR="00000000" w:rsidRPr="00000000">
        <w:rPr>
          <w:rtl w:val="0"/>
        </w:rPr>
      </w:r>
    </w:p>
    <w:p w:rsidR="00000000" w:rsidDel="00000000" w:rsidP="00000000" w:rsidRDefault="00000000" w:rsidRPr="00000000" w14:paraId="00000043">
      <w:pPr>
        <w:widowControl w:val="0"/>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National Institute of Standards and Technology. (2020). </w:t>
      </w:r>
      <w:r w:rsidDel="00000000" w:rsidR="00000000" w:rsidRPr="00000000">
        <w:rPr>
          <w:rFonts w:ascii="Times New Roman" w:cs="Times New Roman" w:eastAsia="Times New Roman" w:hAnsi="Times New Roman"/>
          <w:i w:val="1"/>
          <w:iCs w:val="1"/>
          <w:sz w:val="24"/>
          <w:szCs w:val="24"/>
          <w:rtl w:val="0"/>
        </w:rPr>
        <w:t xml:space="preserve">Zero trust architecture</w:t>
      </w:r>
      <w:r w:rsidDel="00000000" w:rsidR="00000000" w:rsidRPr="00000000">
        <w:rPr>
          <w:rFonts w:ascii="Times New Roman" w:cs="Times New Roman" w:eastAsia="Times New Roman" w:hAnsi="Times New Roman"/>
          <w:sz w:val="24"/>
          <w:szCs w:val="24"/>
          <w:rtl w:val="0"/>
        </w:rPr>
        <w:t xml:space="preserve"> (NIST Special Publication 800-207). U.S. Department of Commerce.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https://doi.org/10.6028/NIST.SP.800-207</w:t>
        </w:r>
      </w:hyperlink>
      <w:r w:rsidDel="00000000" w:rsidR="00000000" w:rsidRPr="00000000">
        <w:rPr>
          <w:rtl w:val="0"/>
        </w:rPr>
      </w:r>
    </w:p>
    <w:p w:rsidR="00000000" w:rsidDel="00000000" w:rsidP="00000000" w:rsidRDefault="00000000" w:rsidRPr="00000000" w14:paraId="00000044">
      <w:pPr>
        <w:widowControl w:val="0"/>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Center for Internet Security. (2021). </w:t>
      </w:r>
      <w:r w:rsidDel="00000000" w:rsidR="00000000" w:rsidRPr="00000000">
        <w:rPr>
          <w:rFonts w:ascii="Times New Roman" w:cs="Times New Roman" w:eastAsia="Times New Roman" w:hAnsi="Times New Roman"/>
          <w:i w:val="1"/>
          <w:iCs w:val="1"/>
          <w:sz w:val="24"/>
          <w:szCs w:val="24"/>
          <w:rtl w:val="0"/>
        </w:rPr>
        <w:t xml:space="preserve">CIS Critical Security Controls</w:t>
      </w:r>
      <w:r w:rsidDel="00000000" w:rsidR="00000000" w:rsidRPr="00000000">
        <w:rPr>
          <w:rFonts w:ascii="Times New Roman" w:cs="Times New Roman" w:eastAsia="Times New Roman" w:hAnsi="Times New Roman"/>
          <w:sz w:val="24"/>
          <w:szCs w:val="24"/>
          <w:rtl w:val="0"/>
        </w:rPr>
        <w:t xml:space="preserve"> (Version 8).</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https://www.cisecurity.org/controls</w:t>
        </w:r>
      </w:hyperlink>
      <w:r w:rsidDel="00000000" w:rsidR="00000000" w:rsidRPr="00000000">
        <w:rPr>
          <w:rtl w:val="0"/>
        </w:rPr>
      </w:r>
    </w:p>
    <w:p w:rsidR="00000000" w:rsidDel="00000000" w:rsidP="00000000" w:rsidRDefault="00000000" w:rsidRPr="00000000" w14:paraId="00000045">
      <w:pPr>
        <w:widowControl w:val="0"/>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National Institute of Standards and Technology. (2024). </w:t>
      </w:r>
      <w:r w:rsidDel="00000000" w:rsidR="00000000" w:rsidRPr="00000000">
        <w:rPr>
          <w:rFonts w:ascii="Times New Roman" w:cs="Times New Roman" w:eastAsia="Times New Roman" w:hAnsi="Times New Roman"/>
          <w:i w:val="1"/>
          <w:iCs w:val="1"/>
          <w:sz w:val="24"/>
          <w:szCs w:val="24"/>
          <w:rtl w:val="0"/>
        </w:rPr>
        <w:t xml:space="preserve">Cybersecurity Framework</w:t>
      </w:r>
      <w:r w:rsidDel="00000000" w:rsidR="00000000" w:rsidRPr="00000000">
        <w:rPr>
          <w:rFonts w:ascii="Times New Roman" w:cs="Times New Roman" w:eastAsia="Times New Roman" w:hAnsi="Times New Roman"/>
          <w:sz w:val="24"/>
          <w:szCs w:val="24"/>
          <w:rtl w:val="0"/>
        </w:rPr>
        <w:t xml:space="preserve"> (Version 2.0). U.S. Department of Commerce.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https://www.nist.gov/cyberframework</w:t>
        </w:r>
      </w:hyperlink>
      <w:r w:rsidDel="00000000" w:rsidR="00000000" w:rsidRPr="00000000">
        <w:rPr>
          <w:rtl w:val="0"/>
        </w:rPr>
      </w:r>
    </w:p>
    <w:p w:rsidR="00000000" w:rsidDel="00000000" w:rsidP="00000000" w:rsidRDefault="00000000" w:rsidRPr="00000000" w14:paraId="00000046">
      <w:pPr>
        <w:widowControl w:val="0"/>
        <w:spacing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tl w:val="0"/>
        </w:rPr>
      </w:r>
    </w:p>
    <w:sectPr>
      <w:headerReference r:id="rId18" w:type="default"/>
      <w:footerReference r:id="rId19" w:type="default"/>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jc w:val="right"/>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45/501978.501980" TargetMode="External"/><Relationship Id="rId10" Type="http://schemas.openxmlformats.org/officeDocument/2006/relationships/hyperlink" Target="https://doi.org/10.1145/501978.501980" TargetMode="External"/><Relationship Id="rId13" Type="http://schemas.openxmlformats.org/officeDocument/2006/relationships/hyperlink" Target="https://doi.org/10.6028/NIST.SP.800-207" TargetMode="External"/><Relationship Id="rId12" Type="http://schemas.openxmlformats.org/officeDocument/2006/relationships/hyperlink" Target="https://doi.org/10.6028/NIST.SP.800-2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isa.gov/zero-trust-maturity-model" TargetMode="External"/><Relationship Id="rId15" Type="http://schemas.openxmlformats.org/officeDocument/2006/relationships/hyperlink" Target="https://www.cisecurity.org/controls" TargetMode="External"/><Relationship Id="rId14" Type="http://schemas.openxmlformats.org/officeDocument/2006/relationships/hyperlink" Target="https://www.cisecurity.org/controls" TargetMode="External"/><Relationship Id="rId17" Type="http://schemas.openxmlformats.org/officeDocument/2006/relationships/hyperlink" Target="https://www.nist.gov/cyberframework" TargetMode="External"/><Relationship Id="rId16" Type="http://schemas.openxmlformats.org/officeDocument/2006/relationships/hyperlink" Target="https://www.nist.gov/cyberframework"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www.gartner.com/" TargetMode="External"/><Relationship Id="rId18" Type="http://schemas.openxmlformats.org/officeDocument/2006/relationships/header" Target="header1.xml"/><Relationship Id="rId7" Type="http://schemas.openxmlformats.org/officeDocument/2006/relationships/hyperlink" Target="https://www.gartner.com/" TargetMode="External"/><Relationship Id="rId8" Type="http://schemas.openxmlformats.org/officeDocument/2006/relationships/hyperlink" Target="https://www.cisa.gov/zero-trust-maturity-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