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580" w:hanging="2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580" w:hanging="2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580" w:hanging="2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580" w:hanging="2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580" w:hanging="2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580" w:hanging="2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580" w:hanging="2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2: Critical Thinking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Redesigning the Waterfall Model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Ryan Thompson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Colorado State University - Global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CSC 505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Dr. Gonzalez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  <w:t xml:space="preserve">20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580" w:hanging="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580" w:hanging="2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580" w:hanging="2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580" w:hanging="2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580" w:hanging="2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580" w:hanging="2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References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720"/>
        <w:rPr/>
      </w:pPr>
      <w:r w:rsidDel="00000000" w:rsidR="00000000" w:rsidRPr="00000000">
        <w:rPr>
          <w:i w:val="1"/>
          <w:rtl w:val="0"/>
        </w:rPr>
        <w:t xml:space="preserve">What is a UML diagram?: Different types and benefits: Miro</w:t>
      </w:r>
      <w:r w:rsidDel="00000000" w:rsidR="00000000" w:rsidRPr="00000000">
        <w:rPr>
          <w:rtl w:val="0"/>
        </w:rPr>
        <w:t xml:space="preserve">. https://miro.com/. (n.d.-a). https://miro.com/diagramming/what-is-a-uml-diagram/ 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720"/>
        <w:rPr/>
      </w:pPr>
      <w:r w:rsidDel="00000000" w:rsidR="00000000" w:rsidRPr="00000000">
        <w:rPr>
          <w:i w:val="1"/>
          <w:rtl w:val="0"/>
        </w:rPr>
        <w:t xml:space="preserve">The Pros and cons of waterfall methodology</w:t>
      </w:r>
      <w:r w:rsidDel="00000000" w:rsidR="00000000" w:rsidRPr="00000000">
        <w:rPr>
          <w:rtl w:val="0"/>
        </w:rPr>
        <w:t xml:space="preserve">. Lucidchart. (2018, August 10). https://www.lucidchart.com/blog/pros-and-cons-of-waterfall-methodology </w:t>
      </w:r>
    </w:p>
    <w:p w:rsidR="00000000" w:rsidDel="00000000" w:rsidP="00000000" w:rsidRDefault="00000000" w:rsidRPr="00000000" w14:paraId="0000001C">
      <w:pPr>
        <w:spacing w:after="240" w:before="240" w:lineRule="auto"/>
        <w:ind w:left="580" w:hanging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