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odttf" ContentType="application/vnd.openxmlformats-officedocument.obfuscatedFont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DBA35D" w14:textId="77777777" w:rsidR="0007392C" w:rsidRPr="00586A35" w:rsidRDefault="003C3338" w:rsidP="007A502C">
      <w:pPr>
        <w:pStyle w:val="Titledocument"/>
        <w:widowControl w:val="1"/>
        <w:rPr>
          <w14:ligatures w14:val="standard"/>
        </w:rPr>
      </w:pPr>
      <w:r>
        <w:rPr>
          <w:lang w:val="en-US"/>
        </w:rPr>
        <w:t>Governing by Artifacts: An Auditable Constraint-Based Framework for Contestable Educational Decision Systems</w:t>
      </w:r>
    </w:p>
    <w:p w14:paraId="794959C3" w14:textId="77777777" w:rsidR="00586A35" w:rsidRPr="00586A35" w:rsidRDefault="00586A35" w:rsidP="00F3231F">
      <w:pPr>
        <w:pStyle w:val="Authors"/>
        <w:widowControl w:val="1"/>
        <w:spacing w:before="0" w:after="0" w:line="20" w:lineRule="exact"/>
        <w:rPr>
          <w:rStyle w:val="FirstName"/>
          <w14:ligatures w14:val="standard"/>
        </w:rPr>
        <w:sectPr w:rsidR="00586A35" w:rsidRPr="00586A35" w:rsidSect="00586A35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0E057E50" w14:textId="77777777" w:rsidR="00586A35" w:rsidRPr="00586A35" w:rsidRDefault="003C3338" w:rsidP="00586A35">
      <w:pPr>
        <w:pStyle w:val="Authors"/>
        <w:widowControl w:val="1"/>
        <w:jc w:val="center"/>
        <w:rPr>
          <w14:ligatures w14:val="standard"/>
        </w:rPr>
      </w:pPr>
      <w:r>
        <w:rPr>
          <w:sz w:val="24"/>
          <w:lang w:val="en-US"/>
        </w:rPr>
        <w:t>Tales Matos</w:t>
      </w:r>
      <w:r>
        <w:rPr>
          <w:sz w:val="20"/>
          <w:lang w:val="en-US"/>
        </w:rPr>
        <w:br/>
        <w:t>Department of Computer Science</w:t>
      </w:r>
      <w:r>
        <w:rPr>
          <w:sz w:val="20"/>
          <w:lang w:val="en-US"/>
        </w:rPr>
        <w:br/>
        <w:t>Federal University of Ceará</w:t>
      </w:r>
      <w:r>
        <w:rPr>
          <w:sz w:val="20"/>
          <w:lang w:val="en-US"/>
        </w:rPr>
        <w:br/>
        <w:t>Brazil</w:t>
      </w:r>
      <w:r>
        <w:rPr>
          <w:sz w:val="20"/>
          <w:lang w:val="en-US"/>
        </w:rPr>
        <w:br/>
        <w:t>tales.matos@dc.ufc.br</w:t>
      </w:r>
    </w:p>
    <w:p w14:paraId="0E057E50" w14:textId="77777777" w:rsidR="00586A35" w:rsidRPr="00586A35" w:rsidRDefault="003C3338" w:rsidP="00586A35">
      <w:pPr>
        <w:pStyle w:val="Authors"/>
        <w:widowControl w:val="1"/>
        <w:jc w:val="center"/>
        <w:rPr>
          <w14:ligatures w14:val="standard"/>
        </w:rPr>
      </w:pPr>
      <w:r>
        <w:rPr>
          <w:sz w:val="24"/>
          <w:lang w:val="en-US"/>
        </w:rPr>
        <w:t>Jose Macedo</w:t>
      </w:r>
      <w:r>
        <w:rPr>
          <w:sz w:val="20"/>
          <w:lang w:val="en-US"/>
        </w:rPr>
        <w:br/>
        <w:t>Department of Computer Science</w:t>
      </w:r>
      <w:r>
        <w:rPr>
          <w:sz w:val="20"/>
          <w:lang w:val="en-US"/>
        </w:rPr>
        <w:br/>
        <w:t>Federal University of Ceará</w:t>
      </w:r>
      <w:r>
        <w:rPr>
          <w:sz w:val="20"/>
          <w:lang w:val="en-US"/>
        </w:rPr>
        <w:br/>
        <w:t>Brazil</w:t>
      </w:r>
      <w:r>
        <w:rPr>
          <w:sz w:val="20"/>
          <w:lang w:val="en-US"/>
        </w:rPr>
        <w:br/>
        <w:t>jose.macedo@dc.ufc.br</w:t>
      </w:r>
    </w:p>
    <w:p w14:paraId="43FF3920" w14:textId="77777777" w:rsidR="00586A35" w:rsidRPr="00586A35" w:rsidRDefault="00586A35" w:rsidP="00694749">
      <w:pPr>
        <w:pStyle w:val="TitleNote"/>
        <w:widowControl w:val="1"/>
        <w:spacing w:before="0" w:after="0" w:line="20" w:lineRule="exact"/>
        <w:rPr>
          <w:rFonts w:ascii="Cambria Math" w:hAnsi="Cambria Math" w:cs="Cambria Math"/>
          <w:bCs/>
          <w:color w:val="auto"/>
          <w:vertAlign w:val="superscript"/>
          <w14:ligatures w14:val="standard"/>
        </w:rPr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720"/>
          <w:titlePg/>
          <w:docGrid w:linePitch="360"/>
        </w:sectPr>
      </w:pPr>
    </w:p>
    <w:p w14:paraId="66087E34" w14:textId="77777777" w:rsidR="00586A35" w:rsidRPr="00586A35" w:rsidRDefault="00586A35" w:rsidP="00694749">
      <w:pPr>
        <w:pStyle w:val="AbsHead"/>
        <w:widowControl w:val="1"/>
        <w:spacing w:before="0" w:after="0" w:line="20" w:lineRule="exact"/>
        <w:rPr>
          <w14:ligatures w14:val="standard"/>
        </w:rPr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>
      <w:pPr>
        <w:pStyle w:val="AbsHead"/>
        <w:keepNext/>
        <w:widowControl w:val="1"/>
      </w:pPr>
      <w:r>
        <w:rPr>
          <w:lang w:val="en-US"/>
        </w:rPr>
        <w:t xml:space="preserve">ABSTRACT</w:t>
      </w:r>
    </w:p>
    <w:p>
      <w:pPr>
        <w:pStyle w:val="Abstract"/>
        <w:widowControl w:val="1"/>
        <w:rPr>
          <w:sz w:val="20"/>
        </w:rPr>
      </w:pPr>
      <w:r>
        <w:rPr>
          <w:lang w:val="en-US"/>
        </w:rPr>
        <w:t xml:space="preserve">Automated edu­ca­tional decision support requires evidence that deci­sions followed an explicit insti­tu­tional policy. We present COMPASS-ECL-MAS, an artifact-oriented frame­work com­bin­ing empir­i­cal con­straints, policy ver­sion­ing, deter­min­is­tic selec­tion over feasible Pareto can­di­dates, and replay of Top-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deci­sions with absten­tion. We evaluate gov­er­nance mechan­ics using fixed scored cases from ASSISTments, OULAD and a syn­thetic stress test. The imple­mented tasks predict cor­rect­ness or student success; they do not evaluate early-warning inter­ven­tion tar­get­ing. Reclassifying uns­e­lected cases changes auto­ma­tion coverage without nec­es­sar­ily changing selec­tion utility, exposing an insti­tu­tional choice that must be audited. We rec­on­cile his­tor­i­cal outputs with a revised imple­men­ta­tion that spec­i­fies entropy in bits, stable tie rules, artifact ver­i­fi­ca­tion and an autho­riza­tion gate for infea­si­ble can­di­dates. An exploratory, coun­ter­bal­anced study (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16</m:t>
        </m:r>
      </m:oMath>
      <w:r>
        <w:rPr>
          <w:lang w:val="en-US"/>
        </w:rPr>
        <w:t xml:space="preserve">; eight stan­dard­ized cases) shows diag­nos­tic and reme­di­a­tion accuracy of 0.5625 under logs/cards and 0.921875 under struc­tured evidence; cor­rect­ness on these two end­points coin­cides in every response. The study eval­u­ates the evidence bundle as a whole, not an inde­pen­dently isolated replay effect or field recourse. We release repro­ducible analyses and explic­itly dis­tin­guish fixed-score replay, new infer­ence, and unsup­ported feature-depen­dent excep­tions.</w:t>
      </w:r>
    </w:p>
    <w:bookmarkEnd w:id="9"/>
    <w:bookmarkStart w:id="10" w:name="ccs-concepts"/>
    <w:p>
      <w:pPr>
        <w:pStyle w:val="CCSHead"/>
        <w:keepNext/>
        <w:widowControl w:val="1"/>
      </w:pPr>
      <w:r>
        <w:rPr>
          <w:lang w:val="en-US"/>
        </w:rPr>
        <w:t xml:space="preserve">CCS CONCEPTS</w:t>
      </w:r>
    </w:p>
    <w:p>
      <w:pPr>
        <w:pStyle w:val="CCSDescription"/>
        <w:widowControl w:val="1"/>
      </w:pPr>
      <w:r>
        <w:rPr>
          <w:lang w:val="en-US"/>
        </w:rPr>
        <w:t xml:space="preserve">Computing methodologies: Artificial intelligence. Social and professional topics: Computing / technology policy; Government technology policy.</w:t>
      </w:r>
    </w:p>
    <w:bookmarkEnd w:id="10"/>
    <w:bookmarkStart w:id="11" w:name="keywords"/>
    <w:p>
      <w:pPr>
        <w:pStyle w:val="KeyWordHead"/>
        <w:keepNext/>
        <w:widowControl w:val="1"/>
      </w:pPr>
      <w:r>
        <w:rPr>
          <w:lang w:val="en-US"/>
        </w:rPr>
        <w:t xml:space="preserve">KEYWORDS</w:t>
      </w:r>
    </w:p>
    <w:p>
      <w:pPr>
        <w:pStyle w:val="KeyWords"/>
        <w:widowControl w:val="1"/>
      </w:pPr>
      <w:r>
        <w:rPr>
          <w:lang w:val="en-US"/>
        </w:rPr>
        <w:t xml:space="preserve">contestability, algorithmic accountability, procedural justice, public sector AI, educational decision support, fairness, audit trails, policy versioning, abstention</w:t>
      </w:r>
    </w:p>
    <w:bookmarkEnd w:id="11"/>
    <w:bookmarkStart w:id="13" w:name="sec:notation"/>
    <w:p>
      <w:pPr>
        <w:pStyle w:val="Head1"/>
        <w:keepNext/>
        <w:keepLines/>
        <w:widowControl w:val="1"/>
      </w:pPr>
      <w:r>
        <w:rPr>
          <w:lang w:val="en-US"/>
        </w:rPr>
        <w:t xml:space="preserve">1</w:t>
      </w:r>
      <w:r>
        <w:rPr>
          <w:lang w:val="en-US"/>
        </w:rPr>
        <w:t xml:space="preserve">  </w:t>
      </w:r>
      <w:r>
        <w:rPr>
          <w:lang w:val="en-US"/>
        </w:rPr>
        <w:t xml:space="preserve">Notation and Core Definitions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Table 1 sum­ma­rizes the symbols used through­out the paper. We empha­size that all fairness metrics are defined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under the deployed decision rule</w:t>
      </w:r>
      <w:r>
        <w:rPr>
          <w:lang w:val="en-US"/>
        </w:rPr>
        <w:t xml:space="preserve"> </w:t>
      </w:r>
      <w:r>
        <w:rPr>
          <w:lang w:val="en-US"/>
        </w:rPr>
        <w:t xml:space="preserve">(Top-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with absten­tion), not merely on raw scores.</w:t>
      </w:r>
    </w:p>
    <w:bookmarkStart w:id="12" w:name="tab:notation"/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1: Notation summary.</w:t>
      </w:r>
    </w:p>
    <w:tbl>
      <w:tblPr>
        <w:tblStyle w:val="TableNormal"/>
        <w:tblW w:type="dxa" w:w="480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: Notation summary."/>
      </w:tblPr>
      <w:tblGrid>
        <w:gridCol w:w="1248"/>
        <w:gridCol w:w="3552"/>
      </w:tblGrid>
      <w:tr>
        <w:trPr>
          <w:tblHeader w:val="on"/>
          <w:cantSplit/>
          <w:tblHeader/>
        </w:trPr>
        <w:tc>
          <w:tcPr>
            <w:tcW w:type="dxa" w:w="124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Symbol</w:t>
            </w:r>
          </w:p>
        </w:tc>
        <w:tc>
          <w:tcPr>
            <w:tcW w:type="dxa" w:w="355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n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number of instances in a dataset split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,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,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a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features, label, sensitive attribute for instance</w:t>
            </w:r>
            <w:r>
              <w:rPr>
                <w:lang w:val="en-US"/>
              </w:rPr>
              <w:t xml:space="preserve"> 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θ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predictive model with parameters</w:t>
            </w:r>
            <w:r>
              <w:rPr>
                <w:lang w:val="en-US"/>
              </w:rPr>
              <w:t xml:space="preserve"> 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θ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score</w:t>
            </w:r>
            <w:r>
              <w:rPr>
                <w:lang w:val="en-US"/>
              </w:rPr>
              <w:t xml:space="preserve"> </w:t>
            </w: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=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(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∈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[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,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]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predictive entropy in bits,</w:t>
            </w:r>
            <w:r>
              <w:rPr>
                <w:lang w:val="en-US"/>
              </w:rPr>
              <w:t xml:space="preserve"> 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≤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≤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1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γ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abstention threshold (eligibility)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γ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eligible set</w:t>
            </w:r>
            <w:r>
              <w:rPr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{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: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≤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γ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}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selection capacity ceiling (Top-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  <w:r>
              <w:rPr>
                <w:lang w:val="en-US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m:rPr>
                  <m:nor/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TopK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⋅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)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selected intervention set under Top-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C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automation coverage</w:t>
            </w:r>
            <w:r>
              <w:rPr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(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sel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+</m:t>
              </m:r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rej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/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n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@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K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equality of opportunity gap under Top-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DP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@</m:t>
                  </m:r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K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lang w:val="en-US"/>
              </w:rPr>
              <w:t xml:space="preserve">demographic parity gap under Top-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H</m:t>
              </m:r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explanation entropy proxy (global)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eff</m:t>
                  </m:r>
                </m:sub>
              </m:sSub>
            </m:oMath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effective feature count proxy</w:t>
            </w:r>
          </w:p>
        </w:tc>
      </w:tr>
    </w:tbl>
    <w:bookmarkEnd w:id="12"/>
    <w:bookmarkEnd w:id="13"/>
    <w:bookmarkStart w:id="17" w:name="sec:introduction"/>
    <w:p>
      <w:pPr>
        <w:pStyle w:val="Head1"/>
        <w:keepNext/>
        <w:keepLines/>
        <w:widowControl w:val="1"/>
      </w:pPr>
      <w:r>
        <w:rPr>
          <w:lang w:val="en-US"/>
        </w:rPr>
        <w:t xml:space="preserve">2</w:t>
      </w:r>
      <w:r>
        <w:rPr>
          <w:lang w:val="en-US"/>
        </w:rPr>
        <w:t xml:space="preserve">  </w:t>
      </w:r>
      <w:r>
        <w:rPr>
          <w:lang w:val="en-US"/>
        </w:rPr>
        <w:t xml:space="preserve">Introduction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Why FAccT should care.</w:t>
      </w:r>
      <w:r>
        <w:rPr>
          <w:lang w:val="en-US"/>
        </w:rPr>
        <w:t xml:space="preserve"> </w:t>
      </w:r>
      <w:r>
        <w:rPr>
          <w:lang w:val="en-US"/>
        </w:rPr>
        <w:t xml:space="preserve">Public edu­ca­tion agencies increas­ingly deploy (or procure) pre­dic­tive decision support to triage scarce inter­ven­tions: tutoring slots, coun­sel­ing capacity, special-needs assess­ments, dropout pre­ven­tion programs, and schol­ar­ship support.</w:t>
      </w:r>
      <w:r>
        <w:rPr>
          <w:lang w:val="en-US"/>
        </w:rPr>
        <w:t xml:space="preserve"> </w:t>
      </w:r>
      <w:r>
        <w:rPr>
          <w:lang w:val="en-US"/>
        </w:rPr>
        <w:t xml:space="preserve">When these systems fail, the harm is not only pre­dic­tive error—it is a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crisis of legit­i­macy</w:t>
      </w:r>
      <w:r>
        <w:rPr>
          <w:lang w:val="en-US"/>
        </w:rPr>
        <w:t xml:space="preserve">: affected students and families cannot under­stand, contest, or obtain mean­ing­ful remedy.</w:t>
      </w:r>
    </w:p>
    <w:p>
      <w:pPr>
        <w:pStyle w:val="Para"/>
        <w:widowControl w:val="1"/>
      </w:pPr>
      <w:r>
        <w:rPr>
          <w:lang w:val="en-US"/>
        </w:rPr>
        <w:t xml:space="preserve">Recent episodes illus­trate this legit­i­macy gap.</w:t>
      </w:r>
      <w:r>
        <w:rPr>
          <w:lang w:val="en-US"/>
        </w:rPr>
        <w:t xml:space="preserve"> </w:t>
      </w:r>
      <w:r>
        <w:rPr>
          <w:lang w:val="en-US"/>
        </w:rPr>
        <w:t xml:space="preserve">In 2020, the UK A-level</w:t>
      </w:r>
      <w:r>
        <w:rPr>
          <w:lang w:val="en-US"/>
        </w:rPr>
        <w:t xml:space="preserve"> </w:t>
      </w:r>
      <w:r>
        <w:rPr>
          <w:lang w:val="en-US"/>
        </w:rPr>
        <w:t xml:space="preserve">“grading algo­rithm”</w:t>
      </w:r>
      <w:r>
        <w:rPr>
          <w:lang w:val="en-US"/>
        </w:rPr>
        <w:t xml:space="preserve"> </w:t>
      </w:r>
      <w:r>
        <w:rPr>
          <w:lang w:val="en-US"/>
        </w:rPr>
        <w:t xml:space="preserve">was rolled out with limited con­tes­ta­tion capacity and gen­er­ated large-scale, socially salient down­grades that trig­gered public backlash and a policy U-turn [23].</w:t>
      </w:r>
      <w:r>
        <w:rPr>
          <w:lang w:val="en-US"/>
        </w:rPr>
        <w:t xml:space="preserve"> </w:t>
      </w:r>
      <w:r>
        <w:rPr>
          <w:lang w:val="en-US"/>
        </w:rPr>
        <w:t xml:space="preserve">In U.S. K–12 settings, early-warning models have drawn scrutiny for inequitable risk assign­ments and opaque gov­er­nance (e.g., Wisconsin’s dropout early-warning system) [9].</w:t>
      </w:r>
      <w:r>
        <w:rPr>
          <w:lang w:val="en-US"/>
        </w:rPr>
        <w:t xml:space="preserve"> </w:t>
      </w:r>
      <w:r>
        <w:rPr>
          <w:lang w:val="en-US"/>
        </w:rPr>
        <w:t xml:space="preserve">And in adjacent public-sector risk pro­fil­ing, courts have struck down systems for insuf­fi­cient trans­parency and account­abil­ity (e.g., the Dutch SyRI ruling) [7].</w:t>
      </w:r>
      <w:r>
        <w:rPr>
          <w:lang w:val="en-US"/>
        </w:rPr>
        <w:t xml:space="preserve"> </w:t>
      </w:r>
      <w:r>
        <w:rPr>
          <w:lang w:val="en-US"/>
        </w:rPr>
        <w:t xml:space="preserve">These cases are not outliers: they expose a recur­ring pattern where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auto­ma­tion arrives before con­testa­bil­ity and account­abil­ity</w:t>
      </w:r>
      <w:r>
        <w:rPr>
          <w:lang w:val="en-US"/>
        </w:rPr>
        <w:t xml:space="preserve">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From metrics to con­testa­bil­ity.</w:t>
      </w:r>
      <w:r>
        <w:rPr>
          <w:lang w:val="en-US"/>
        </w:rPr>
        <w:t xml:space="preserve"> </w:t>
      </w:r>
      <w:r>
        <w:rPr>
          <w:lang w:val="en-US"/>
        </w:rPr>
        <w:t xml:space="preserve">Responsible-AI frame­works and toolkits have matured rapidly, but many deploy­ments still reduce gov­er­nance to model-level metrics and check­lists.</w:t>
      </w:r>
      <w:r>
        <w:rPr>
          <w:lang w:val="en-US"/>
        </w:rPr>
        <w:t xml:space="preserve"> </w:t>
      </w:r>
      <w:r>
        <w:rPr>
          <w:lang w:val="en-US"/>
        </w:rPr>
        <w:t xml:space="preserve">This creates a risk of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fair­wash­ing</w:t>
      </w:r>
      <w:r>
        <w:rPr>
          <w:lang w:val="en-US"/>
        </w:rPr>
        <w:t xml:space="preserve">: insti­tu­tions claim ethical com­pli­ance via selec­tive indi­ca­tors while offering weak recourse, unclear respon­si­bil­ity for trade-offs, and poor auditabil­ity [5, 22, 13, 17].</w:t>
      </w:r>
      <w:r>
        <w:rPr>
          <w:lang w:val="en-US"/>
        </w:rPr>
        <w:t xml:space="preserve"> </w:t>
      </w:r>
      <w:r>
        <w:rPr>
          <w:lang w:val="en-US"/>
        </w:rPr>
        <w:t xml:space="preserve">In public edu­ca­tion, where labels and his­tor­i­cal mea­sure­ments can embed struc­tural inequities [3], gov­er­nance must be treated as an insti­tu­tional pro­ce­dure, not a one-off model tuning exercise.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Our approach: gov­ern­ing by arti­facts.</w:t>
      </w:r>
      <w:r>
        <w:rPr>
          <w:lang w:val="en-US"/>
        </w:rPr>
        <w:t xml:space="preserve"> </w:t>
      </w:r>
      <w:r>
        <w:rPr>
          <w:lang w:val="en-US"/>
        </w:rPr>
        <w:t xml:space="preserve">We propose COMPASS-ECL-MAS, a gov­er­nance-first layer that turns ethical require­ments into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ver­sioned policy</w:t>
      </w:r>
      <w:r>
        <w:rPr>
          <w:lang w:val="en-US"/>
        </w:rPr>
        <w:t xml:space="preserve"> </w:t>
      </w:r>
      <w:r>
        <w:rPr>
          <w:lang w:val="en-US"/>
        </w:rPr>
        <w:t xml:space="preserve">and produces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auditable arti­facts</w:t>
      </w:r>
      <w:r>
        <w:rPr>
          <w:lang w:val="en-US"/>
        </w:rPr>
        <w:t xml:space="preserve"> </w:t>
      </w:r>
      <w:r>
        <w:rPr>
          <w:lang w:val="en-US"/>
        </w:rPr>
        <w:t xml:space="preserve">sup­port­ing over­sight, appeals, and iter­a­tive revision.</w:t>
      </w:r>
      <w:r>
        <w:rPr>
          <w:lang w:val="en-US"/>
        </w:rPr>
        <w:t xml:space="preserve"> </w:t>
      </w:r>
      <w:r>
        <w:rPr>
          <w:lang w:val="en-US"/>
        </w:rPr>
        <w:t xml:space="preserve">The central design premise is simple: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if a decision can be con­tested, the system must ship the arti­facts required to contest it.</w:t>
      </w:r>
      <w:r>
        <w:rPr>
          <w:lang w:val="en-US"/>
        </w:rPr>
        <w:t xml:space="preserve"> </w:t>
      </w:r>
      <w:r>
        <w:rPr>
          <w:lang w:val="en-US"/>
        </w:rPr>
        <w:t xml:space="preserve">Concretely, the frame­work (i) encodes multi-dimen­sional require­ments as com­putable con­straints, (ii) imple­ments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absten­tion as a pro­ce­dural safe­guard</w:t>
      </w:r>
      <w:r>
        <w:rPr>
          <w:lang w:val="en-US"/>
        </w:rPr>
        <w:t xml:space="preserve"> </w:t>
      </w:r>
      <w:r>
        <w:rPr>
          <w:lang w:val="en-US"/>
        </w:rPr>
        <w:t xml:space="preserve">for uncer­tain cases (routing to human review), and (iii) selects deploy­able con­fig­u­ra­tions via an explicit, insti­tu­tion-defined policy over Pareto-feasible can­di­dates.</w:t>
      </w:r>
    </w:p>
    <w:bookmarkStart w:id="15" w:name="contributions"/>
    <w:p>
      <w:pPr>
        <w:pStyle w:val="Head2"/>
        <w:keepNext/>
        <w:keepLines/>
        <w:widowControl w:val="1"/>
      </w:pPr>
      <w:r>
        <w:rPr>
          <w:lang w:val="en-US"/>
        </w:rPr>
        <w:t xml:space="preserve">2.1</w:t>
      </w:r>
      <w:r>
        <w:rPr>
          <w:lang w:val="en-US"/>
        </w:rPr>
        <w:t xml:space="preserve">  </w:t>
      </w:r>
      <w:r>
        <w:rPr>
          <w:lang w:val="en-US"/>
        </w:rPr>
        <w:t xml:space="preserve">Contributions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Scope.</w:t>
      </w:r>
      <w:r>
        <w:rPr>
          <w:lang w:val="en-US"/>
        </w:rPr>
        <w:t xml:space="preserve"> </w:t>
      </w:r>
      <w:r>
        <w:rPr>
          <w:lang w:val="en-US"/>
        </w:rPr>
        <w:t xml:space="preserve">We make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mech­a­nism-level</w:t>
      </w:r>
      <w:r>
        <w:rPr>
          <w:lang w:val="en-US"/>
        </w:rPr>
        <w:t xml:space="preserve"> </w:t>
      </w:r>
      <w:r>
        <w:rPr>
          <w:lang w:val="en-US"/>
        </w:rPr>
        <w:t xml:space="preserve">claims about gov­er­nance infra­struc­ture: can­di­date sweeps, con­straint checking, deter­min­is­tic selec­tion, artifact emission, and replaya­bil­ity for oper­a­tional con­testa­bil­ity.</w:t>
      </w:r>
      <w:r>
        <w:rPr>
          <w:lang w:val="en-US"/>
        </w:rPr>
        <w:t xml:space="preserve"> </w:t>
      </w:r>
      <w:r>
        <w:rPr>
          <w:lang w:val="en-US"/>
        </w:rPr>
        <w:t xml:space="preserve">We do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not</w:t>
      </w:r>
      <w:r>
        <w:rPr>
          <w:lang w:val="en-US"/>
        </w:rPr>
        <w:t xml:space="preserve"> </w:t>
      </w:r>
      <w:r>
        <w:rPr>
          <w:lang w:val="en-US"/>
        </w:rPr>
        <w:t xml:space="preserve">claim down­stream social impact (e.g., improved edu­ca­tional outcomes, reduced inequity in deploy­ment, or field adoption).</w:t>
      </w:r>
      <w:r>
        <w:rPr>
          <w:lang w:val="en-US"/>
        </w:rPr>
        <w:t xml:space="preserve"> </w:t>
      </w:r>
      <w:r>
        <w:rPr>
          <w:lang w:val="en-US"/>
        </w:rPr>
        <w:t xml:space="preserve">Our arti­facts are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nec­es­sary but not suf­fi­cient</w:t>
      </w:r>
      <w:r>
        <w:rPr>
          <w:lang w:val="en-US"/>
        </w:rPr>
        <w:t xml:space="preserve"> </w:t>
      </w:r>
      <w:r>
        <w:rPr>
          <w:lang w:val="en-US"/>
        </w:rPr>
        <w:t xml:space="preserve">for sub­stan­tive recourse: insti­tu­tions still must provide acces­si­ble pro­cesses, capacity, and legal safe­guards.</w:t>
      </w:r>
    </w:p>
    <w:bookmarkStart w:id="14" w:name="tab:claim_evidence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2: Claims, evidence and explicit boundaries of the revised manuscript.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2: Claims, evidence and explicit boundaries of the revised manuscript."/>
      </w:tblPr>
      <w:tblGrid>
        <w:gridCol w:w="2218"/>
        <w:gridCol w:w="3830"/>
        <w:gridCol w:w="4032"/>
      </w:tblGrid>
      <w:tr>
        <w:trPr>
          <w:tblHeader w:val="on"/>
          <w:cantSplit/>
          <w:tblHeader/>
        </w:trPr>
        <w:tc>
          <w:tcPr>
            <w:tcW w:type="dxa" w:w="221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Claim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Evidence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Boundary</w:t>
            </w:r>
          </w:p>
        </w:tc>
      </w:tr>
      <w:tr>
        <w:trPr>
          <w:cantSplit/>
        </w:trPr>
        <w:tc>
          <w:tcPr>
            <w:tcW w:type="dxa" w:w="22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Fixed-score replay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State reconciliation and taxonomy replay, Tables 8 and 12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Does not support changed features or medical exceptions.</w:t>
            </w:r>
          </w:p>
        </w:tc>
      </w:tr>
      <w:tr>
        <w:trPr>
          <w:cantSplit/>
        </w:trPr>
        <w:tc>
          <w:tcPr>
            <w:tcW w:type="dxa" w:w="22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Empirical selection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Algorithm 1, Tables 9 and 10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Same-sample policy exploration; no population fairness guarantee.</w:t>
            </w:r>
          </w:p>
        </w:tc>
      </w:tr>
      <w:tr>
        <w:trPr>
          <w:cantSplit/>
        </w:trPr>
        <w:tc>
          <w:tcPr>
            <w:tcW w:type="dxa" w:w="22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Explicit failure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Revised runner gate and integration tests, Section 5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Historical violation logging was not operational fail-closed; no human queue connected.</w:t>
            </w:r>
          </w:p>
        </w:tc>
      </w:tr>
      <w:tr>
        <w:trPr>
          <w:cantSplit/>
        </w:trPr>
        <w:tc>
          <w:tcPr>
            <w:tcW w:type="dxa" w:w="22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Structured evidence benefit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Tables 5 and 6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Exploratory N=16, no formal ethics review; bundle effect, not isolated replay effect.</w:t>
            </w:r>
          </w:p>
        </w:tc>
      </w:tr>
      <w:tr>
        <w:trPr>
          <w:cantSplit/>
        </w:trPr>
        <w:tc>
          <w:tcPr>
            <w:tcW w:type="dxa" w:w="221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Entropy diagnostics</w:t>
            </w:r>
          </w:p>
        </w:tc>
        <w:tc>
          <w:tcPr>
            <w:tcW w:type="dxa" w:w="383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Table 13 and structured group-risk report</w:t>
            </w:r>
          </w:p>
        </w:tc>
        <w:tc>
          <w:tcPr>
            <w:tcW w:type="dxa" w:w="403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Scalar proxy; conditional row intervals, not cluster-robust field validation.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14"/>
    <w:p>
      <w:pPr>
        <w:pStyle w:val="Para"/>
        <w:widowControl w:val="1"/>
      </w:pPr>
      <w:r>
        <w:rPr>
          <w:lang w:val="en-US"/>
        </w:rPr>
        <w:t xml:space="preserve">This paper con­trib­utes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auditable infra­struc­ture</w:t>
      </w:r>
      <w:r>
        <w:rPr>
          <w:lang w:val="en-US"/>
        </w:rPr>
        <w:t xml:space="preserve"> </w:t>
      </w:r>
      <w:r>
        <w:rPr>
          <w:lang w:val="en-US"/>
        </w:rPr>
        <w:t xml:space="preserve">for con­testable public edu­ca­tional decision support:</w:t>
      </w:r>
    </w:p>
    <w:p>
      <w:pPr>
        <w:pStyle w:val="Para"/>
        <w:widowControl w:val="1"/>
        <w:numPr>
          <w:ilvl w:val="0"/>
          <w:numId w:val="2001"/>
        </w:numPr>
        <w:rPr>
          <w:sz w:val="20"/>
        </w:rPr>
      </w:pPr>
      <w:r>
        <w:rPr>
          <w:b/>
          <w:bCs/>
          <w:lang w:val="en-US"/>
        </w:rPr>
        <w:t xml:space="preserve">Abstention as pro­ce­dural safe­guard:</w:t>
      </w:r>
      <w:r>
        <w:rPr>
          <w:lang w:val="en-US"/>
        </w:rPr>
        <w:t xml:space="preserve"> </w:t>
      </w:r>
      <w:r>
        <w:rPr>
          <w:lang w:val="en-US"/>
        </w:rPr>
        <w:t xml:space="preserve">We for­mal­ize a Top-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decision rule with uncer­tainty-trig­gered absten­tion that creates a concrete pathway to human review for uncer­tain or policy-sen­si­tive cases.</w:t>
      </w:r>
    </w:p>
    <w:p>
      <w:pPr>
        <w:pStyle w:val="Para"/>
        <w:widowControl w:val="1"/>
        <w:numPr>
          <w:ilvl w:val="0"/>
          <w:numId w:val="2001"/>
        </w:numPr>
      </w:pPr>
      <w:r>
        <w:rPr>
          <w:b/>
          <w:bCs/>
          <w:lang w:val="en-US"/>
        </w:rPr>
        <w:t xml:space="preserve">Artifacts for con­testa­bil­ity:</w:t>
      </w:r>
      <w:r>
        <w:rPr>
          <w:lang w:val="en-US"/>
        </w:rPr>
        <w:t xml:space="preserve"> </w:t>
      </w:r>
      <w:r>
        <w:rPr>
          <w:lang w:val="en-US"/>
        </w:rPr>
        <w:t xml:space="preserve">We define an artifact schema (decision logs, con­straint reports, and policy man­i­fests) that enables third-party audits, recon­struc­tion of past deci­sions, and struc­tured appeals.</w:t>
      </w:r>
    </w:p>
    <w:p>
      <w:pPr>
        <w:pStyle w:val="Para"/>
        <w:widowControl w:val="1"/>
        <w:numPr>
          <w:ilvl w:val="0"/>
          <w:numId w:val="2001"/>
        </w:numPr>
      </w:pPr>
      <w:r>
        <w:rPr>
          <w:b/>
          <w:bCs/>
          <w:lang w:val="en-US"/>
        </w:rPr>
        <w:t xml:space="preserve">Policy ver­sion­ing as trans­parency:</w:t>
      </w:r>
      <w:r>
        <w:rPr>
          <w:lang w:val="en-US"/>
        </w:rPr>
        <w:t xml:space="preserve"> </w:t>
      </w:r>
      <w:r>
        <w:rPr>
          <w:lang w:val="en-US"/>
        </w:rPr>
        <w:t xml:space="preserve">We oper­a­tional­ize insti­tu­tional value choices as a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ver­sioned</w:t>
      </w:r>
      <w:r>
        <w:rPr>
          <w:lang w:val="en-US"/>
        </w:rPr>
        <w:t xml:space="preserve"> </w:t>
      </w:r>
      <w:r>
        <w:rPr>
          <w:lang w:val="en-US"/>
        </w:rPr>
        <w:t xml:space="preserve">policy (thresh­olds, guardrails, tie-breakers), enabling re-runs under new mandates without rewrit­ing code.</w:t>
      </w:r>
    </w:p>
    <w:p>
      <w:pPr>
        <w:pStyle w:val="Para"/>
        <w:widowControl w:val="1"/>
        <w:numPr>
          <w:ilvl w:val="0"/>
          <w:numId w:val="2001"/>
        </w:numPr>
      </w:pPr>
      <w:r>
        <w:rPr>
          <w:b/>
          <w:bCs/>
          <w:lang w:val="en-US"/>
        </w:rPr>
        <w:t xml:space="preserve">Constraint-based multi-stake­holder gov­er­nance:</w:t>
      </w:r>
      <w:r>
        <w:rPr>
          <w:lang w:val="en-US"/>
        </w:rPr>
        <w:t xml:space="preserve"> </w:t>
      </w:r>
      <w:r>
        <w:rPr>
          <w:lang w:val="en-US"/>
        </w:rPr>
        <w:t xml:space="preserve">We show how multiple ethical dimen­sions (fairness, oper­a­tional capacity, trans­parency signals, and safe­guards) can be nego­ti­ated as con­straints rather than hidden in opti­mizer weights.</w:t>
      </w:r>
    </w:p>
    <w:p>
      <w:pPr>
        <w:pStyle w:val="Para"/>
        <w:widowControl w:val="1"/>
        <w:numPr>
          <w:ilvl w:val="0"/>
          <w:numId w:val="2001"/>
        </w:numPr>
      </w:pPr>
      <w:r>
        <w:rPr>
          <w:b/>
          <w:bCs/>
          <w:lang w:val="en-US"/>
        </w:rPr>
        <w:t xml:space="preserve">Socio-tech­ni­cal fea­si­bil­ity via trade-offs:</w:t>
      </w:r>
      <w:r>
        <w:rPr>
          <w:lang w:val="en-US"/>
        </w:rPr>
        <w:t xml:space="preserve"> </w:t>
      </w:r>
      <w:r>
        <w:rPr>
          <w:lang w:val="en-US"/>
        </w:rPr>
        <w:t xml:space="preserve">We provide a repro­ducible pipeline to surface the effi­ciency–fairness–over­sight trade space, sup­port­ing delib­er­a­tion rather than claiming a single</w:t>
      </w:r>
      <w:r>
        <w:rPr>
          <w:lang w:val="en-US"/>
        </w:rPr>
        <w:t xml:space="preserve"> </w:t>
      </w:r>
      <w:r>
        <w:rPr>
          <w:lang w:val="en-US"/>
        </w:rPr>
        <w:t xml:space="preserve">“best”</w:t>
      </w:r>
      <w:r>
        <w:rPr>
          <w:lang w:val="en-US"/>
        </w:rPr>
        <w:t xml:space="preserve"> </w:t>
      </w:r>
      <w:r>
        <w:rPr>
          <w:lang w:val="en-US"/>
        </w:rPr>
        <w:t xml:space="preserve">model.</w:t>
      </w:r>
    </w:p>
    <w:bookmarkEnd w:id="15"/>
    <w:bookmarkStart w:id="16" w:name="scope-and-claims"/>
    <w:p>
      <w:pPr>
        <w:pStyle w:val="Head2"/>
        <w:keepNext/>
        <w:keepLines/>
        <w:widowControl w:val="1"/>
      </w:pPr>
      <w:r>
        <w:rPr>
          <w:lang w:val="en-US"/>
        </w:rPr>
        <w:t xml:space="preserve">2.2</w:t>
      </w:r>
      <w:r>
        <w:rPr>
          <w:lang w:val="en-US"/>
        </w:rPr>
        <w:t xml:space="preserve">  </w:t>
      </w:r>
      <w:r>
        <w:rPr>
          <w:lang w:val="en-US"/>
        </w:rPr>
        <w:t xml:space="preserve">Scope and claims</w:t>
      </w:r>
    </w:p>
    <w:p>
      <w:pPr>
        <w:pStyle w:val="Para"/>
        <w:widowControl w:val="1"/>
      </w:pPr>
      <w:r>
        <w:rPr>
          <w:lang w:val="en-US"/>
        </w:rPr>
        <w:t xml:space="preserve">This is a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systems</w:t>
      </w:r>
      <w:r>
        <w:rPr>
          <w:lang w:val="en-US"/>
        </w:rPr>
        <w:t xml:space="preserve"> </w:t>
      </w:r>
      <w:r>
        <w:rPr>
          <w:lang w:val="en-US"/>
        </w:rPr>
        <w:t xml:space="preserve">con­tri­bu­tion: we do not claim a new fairness def­i­ni­tion or a new learning algo­rithm.</w:t>
      </w:r>
      <w:r>
        <w:rPr>
          <w:lang w:val="en-US"/>
        </w:rPr>
        <w:t xml:space="preserve"> </w:t>
      </w:r>
      <w:r>
        <w:rPr>
          <w:lang w:val="en-US"/>
        </w:rPr>
        <w:t xml:space="preserve">Our claim is that con­testa­bil­ity and account­abil­ity require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pro­ce­dural arti­facts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policy ver­sion­ing</w:t>
      </w:r>
      <w:r>
        <w:rPr>
          <w:lang w:val="en-US"/>
        </w:rPr>
        <w:t xml:space="preserve"> </w:t>
      </w:r>
      <w:r>
        <w:rPr>
          <w:lang w:val="en-US"/>
        </w:rPr>
        <w:t xml:space="preserve">that are often missing from edu­ca­tional AI deploy­ments.</w:t>
      </w:r>
      <w:r>
        <w:rPr>
          <w:lang w:val="en-US"/>
        </w:rPr>
        <w:t xml:space="preserve"> </w:t>
      </w:r>
      <w:r>
        <w:rPr>
          <w:lang w:val="en-US"/>
        </w:rPr>
        <w:t xml:space="preserve">We evaluate the frame­work through con­trolled stress tests and an artifact-centric con­testa­bil­ity score­card, and we provide a repro­ducible fixed-score analyses, a tested ref­er­ence appli­ca­tion, and ver­sioned artifact def­i­ni­tions.</w:t>
      </w:r>
    </w:p>
    <w:p>
      <w:pPr>
        <w:pStyle w:val="Para"/>
        <w:widowControl w:val="1"/>
      </w:pPr>
      <w:r>
        <w:rPr>
          <w:lang w:val="en-US"/>
        </w:rPr>
        <w:t xml:space="preserve">The reported pre­dic­tors estimate cor­rect­ness or student success. They are mech­a­nism testbeds, not val­i­dated rules for assign­ing support to the students at greatest risk. A prospec­tive early-warning use requires a sep­a­rately spec­i­fied target, horizon and eval­u­a­tion.</w:t>
      </w:r>
    </w:p>
    <w:bookmarkEnd w:id="16"/>
    <w:bookmarkEnd w:id="17"/>
    <w:bookmarkStart w:id="23" w:name="sec:related"/>
    <w:p>
      <w:pPr>
        <w:pStyle w:val="Head1"/>
        <w:keepNext/>
        <w:keepLines/>
        <w:widowControl w:val="1"/>
      </w:pPr>
      <w:r>
        <w:rPr>
          <w:lang w:val="en-US"/>
        </w:rPr>
        <w:t xml:space="preserve">3</w:t>
      </w:r>
      <w:r>
        <w:rPr>
          <w:lang w:val="en-US"/>
        </w:rPr>
        <w:t xml:space="preserve">  </w:t>
      </w:r>
      <w:r>
        <w:rPr>
          <w:lang w:val="en-US"/>
        </w:rPr>
        <w:t xml:space="preserve">Related Work</w:t>
      </w:r>
    </w:p>
    <w:p>
      <w:pPr>
        <w:pStyle w:val="Para"/>
        <w:widowControl w:val="1"/>
      </w:pPr>
      <w:r>
        <w:rPr>
          <w:lang w:val="en-US"/>
        </w:rPr>
        <w:t xml:space="preserve">FAccT research has repeat­edly shown that</w:t>
      </w:r>
      <w:r>
        <w:rPr>
          <w:lang w:val="en-US"/>
        </w:rPr>
        <w:t xml:space="preserve"> </w:t>
      </w:r>
      <w:r>
        <w:rPr>
          <w:lang w:val="en-US"/>
        </w:rPr>
        <w:t xml:space="preserve">“getting the metric right”</w:t>
      </w:r>
      <w:r>
        <w:rPr>
          <w:lang w:val="en-US"/>
        </w:rPr>
        <w:t xml:space="preserve"> </w:t>
      </w:r>
      <w:r>
        <w:rPr>
          <w:lang w:val="en-US"/>
        </w:rPr>
        <w:t xml:space="preserve">is insuf­fi­cient when systems are embedded in insti­tu­tions with asym­met­ric power, weak recourse, and opaque account­abil­ity.</w:t>
      </w:r>
      <w:r>
        <w:rPr>
          <w:lang w:val="en-US"/>
        </w:rPr>
        <w:t xml:space="preserve"> </w:t>
      </w:r>
      <w:r>
        <w:rPr>
          <w:lang w:val="en-US"/>
        </w:rPr>
        <w:t xml:space="preserve">We position COMPASS-ECL-MAS at the inter­sec­tion of (i) con­testa­bil­ity and pro­ce­dural justice for algo­rith­mic systems, (ii) prin­ci­ple-to-practice gov­er­nance, and (iii) model-level fairness tooling and trade-offs.</w:t>
      </w:r>
    </w:p>
    <w:bookmarkStart w:id="18" w:name="tab:positioning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3: Roles of related approaches; this conceptual positioning is not an exhaustive capability audit of all implementations.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3: Roles of related approaches; this conceptual positioning is not an exhaustive capability audit of all implementations."/>
      </w:tblPr>
      <w:tblGrid>
        <w:gridCol w:w="2520"/>
        <w:gridCol w:w="3427"/>
        <w:gridCol w:w="4132"/>
      </w:tblGrid>
      <w:tr>
        <w:trPr>
          <w:tblHeader w:val="on"/>
          <w:cantSplit/>
          <w:tblHeader/>
        </w:trPr>
        <w:tc>
          <w:tcPr>
            <w:tcW w:type="dxa" w:w="252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Approach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Main role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Relationship to this work</w:t>
            </w:r>
          </w:p>
        </w:tc>
      </w:tr>
      <w:tr>
        <w:trPr>
          <w:cantSplit/>
        </w:trPr>
        <w:tc>
          <w:tcPr>
            <w:tcW w:type="dxa" w:w="252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Ethical principles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State institutional commitments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Motivate requirements, without fixing our schema.</w:t>
            </w:r>
          </w:p>
        </w:tc>
      </w:tr>
      <w:tr>
        <w:trPr>
          <w:cantSplit/>
        </w:trPr>
        <w:tc>
          <w:tcPr>
            <w:tcW w:type="dxa" w:w="252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Fairness toolkits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Measure or mitigate group disparities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Complement empirical ECL checks.</w:t>
            </w:r>
          </w:p>
        </w:tc>
      </w:tr>
      <w:tr>
        <w:trPr>
          <w:cantSplit/>
        </w:trPr>
        <w:tc>
          <w:tcPr>
            <w:tcW w:type="dxa" w:w="252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Impact assessments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Document impacts and responsibilities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Complement policy rationale and review procedures.</w:t>
            </w:r>
          </w:p>
        </w:tc>
      </w:tr>
      <w:tr>
        <w:trPr>
          <w:cantSplit/>
        </w:trPr>
        <w:tc>
          <w:tcPr>
            <w:tcW w:type="dxa" w:w="252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Contestability by design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Keep systems open to intervention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Motivates preserved case evidence and bounded replay.</w:t>
            </w:r>
          </w:p>
        </w:tc>
      </w:tr>
      <w:tr>
        <w:trPr>
          <w:cantSplit/>
        </w:trPr>
        <w:tc>
          <w:tcPr>
            <w:tcW w:type="dxa" w:w="252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COMPASS revision</w:t>
            </w:r>
          </w:p>
        </w:tc>
        <w:tc>
          <w:tcPr>
            <w:tcW w:type="dxa" w:w="3427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Fixed-score policy audit and artifacts</w:t>
            </w:r>
          </w:p>
        </w:tc>
        <w:tc>
          <w:tcPr>
            <w:tcW w:type="dxa" w:w="413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Demonstrates explicit rules, reconstructed states and export gating.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18"/>
    <w:bookmarkStart w:id="19" w:name="Xefacadc885f6135252194713bccaf41b438fe4b"/>
    <w:p>
      <w:pPr>
        <w:pStyle w:val="Head2"/>
        <w:keepNext/>
        <w:keepLines/>
        <w:widowControl w:val="1"/>
      </w:pPr>
      <w:r>
        <w:rPr>
          <w:lang w:val="en-US"/>
        </w:rPr>
        <w:t xml:space="preserve">3.1</w:t>
      </w:r>
      <w:r>
        <w:rPr>
          <w:lang w:val="en-US"/>
        </w:rPr>
        <w:t xml:space="preserve">  </w:t>
      </w:r>
      <w:r>
        <w:rPr>
          <w:lang w:val="en-US"/>
        </w:rPr>
        <w:t xml:space="preserve">Contestability, Due Process, and Institutional Accountability</w:t>
      </w:r>
    </w:p>
    <w:p>
      <w:pPr>
        <w:pStyle w:val="Para"/>
        <w:widowControl w:val="1"/>
      </w:pPr>
      <w:r>
        <w:rPr>
          <w:lang w:val="en-US"/>
        </w:rPr>
        <w:t xml:space="preserve">A central FAccT concern is whether affected people can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under­stand, chal­lenge, and obtain remedy</w:t>
      </w:r>
      <w:r>
        <w:rPr>
          <w:lang w:val="en-US"/>
        </w:rPr>
        <w:t xml:space="preserve"> </w:t>
      </w:r>
      <w:r>
        <w:rPr>
          <w:lang w:val="en-US"/>
        </w:rPr>
        <w:t xml:space="preserve">when algo­rith­mic systems shape life chances.</w:t>
      </w:r>
      <w:r>
        <w:rPr>
          <w:lang w:val="en-US"/>
        </w:rPr>
        <w:t xml:space="preserve"> </w:t>
      </w:r>
      <w:r>
        <w:rPr>
          <w:lang w:val="en-US"/>
        </w:rPr>
        <w:t xml:space="preserve">Citron and Pasquale argue that scoring systems can erode due process by obscur­ing decision logic and shifting power toward insti­tu­tions [5].</w:t>
      </w:r>
      <w:r>
        <w:rPr>
          <w:lang w:val="en-US"/>
        </w:rPr>
        <w:t xml:space="preserve"> </w:t>
      </w:r>
      <w:r>
        <w:rPr>
          <w:lang w:val="en-US"/>
        </w:rPr>
        <w:t xml:space="preserve">Subsequent work empha­sizes that account­abil­ity is not a property of an algo­rithm alone, but of the socio-tech­ni­cal system: what is doc­u­mented, what is dis­closed, who can audit, and what remedies exist [22, 13, 17].</w:t>
      </w:r>
      <w:r>
        <w:rPr>
          <w:lang w:val="en-US"/>
        </w:rPr>
        <w:t xml:space="preserve"> </w:t>
      </w:r>
      <w:r>
        <w:rPr>
          <w:lang w:val="en-US"/>
        </w:rPr>
        <w:t xml:space="preserve">In HCI and socio-tech­ni­cal design, con­testa­bil­ity-by-design frame­works artic­u­late prac­tices that keep systems respon­sive to human inter­ven­tion through­out the life­cy­cle [1].</w:t>
      </w:r>
    </w:p>
    <w:p>
      <w:pPr>
        <w:pStyle w:val="Para"/>
        <w:widowControl w:val="1"/>
      </w:pPr>
      <w:r>
        <w:rPr>
          <w:lang w:val="en-US"/>
        </w:rPr>
        <w:t xml:space="preserve">Our con­tri­bu­tion aligns with this line: we treat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audit arti­facts</w:t>
      </w:r>
      <w:r>
        <w:rPr>
          <w:lang w:val="en-US"/>
        </w:rPr>
        <w:t xml:space="preserve"> </w:t>
      </w:r>
      <w:r>
        <w:rPr>
          <w:lang w:val="en-US"/>
        </w:rPr>
        <w:t xml:space="preserve">(policy man­i­fests, con­straint reports, decision traces) as first-class outputs required for con­tes­ta­tion and insti­tu­tional over­sight.</w:t>
      </w:r>
    </w:p>
    <w:bookmarkEnd w:id="19"/>
    <w:bookmarkStart w:id="20" w:name="Xde3b05cad2d36ac41973fc7ae2acd186beeb199"/>
    <w:p>
      <w:pPr>
        <w:pStyle w:val="Head2"/>
        <w:keepNext/>
        <w:keepLines/>
        <w:widowControl w:val="1"/>
      </w:pPr>
      <w:r>
        <w:rPr>
          <w:lang w:val="en-US"/>
        </w:rPr>
        <w:t xml:space="preserve">3.2</w:t>
      </w:r>
      <w:r>
        <w:rPr>
          <w:lang w:val="en-US"/>
        </w:rPr>
        <w:t xml:space="preserve">  </w:t>
      </w:r>
      <w:r>
        <w:rPr>
          <w:lang w:val="en-US"/>
        </w:rPr>
        <w:t xml:space="preserve">From Principle-Level Ethics to Operational Governance</w:t>
      </w:r>
    </w:p>
    <w:p>
      <w:pPr>
        <w:pStyle w:val="Para"/>
        <w:widowControl w:val="1"/>
      </w:pPr>
      <w:r>
        <w:rPr>
          <w:lang w:val="en-US"/>
        </w:rPr>
        <w:t xml:space="preserve">Major AI gov­er­nance frame­works—NIST AI RMF, OECD AI Principles, UNESCO, and EU Trustworthy AI guide­lines—converge on high-level desider­ata (fairness, trans­parency, account­abil­ity, robust­ness) but remain imple­men­ta­tion-agnostic [18, 15, 19, 8].</w:t>
      </w:r>
      <w:r>
        <w:rPr>
          <w:lang w:val="en-US"/>
        </w:rPr>
        <w:t xml:space="preserve"> </w:t>
      </w:r>
      <w:r>
        <w:rPr>
          <w:lang w:val="en-US"/>
        </w:rPr>
        <w:t xml:space="preserve">Scholars have high­lighted the</w:t>
      </w:r>
      <w:r>
        <w:rPr>
          <w:lang w:val="en-US"/>
        </w:rPr>
        <w:t xml:space="preserve"> </w:t>
      </w:r>
      <w:r>
        <w:rPr>
          <w:lang w:val="en-US"/>
        </w:rPr>
        <w:t xml:space="preserve">“last-mile”</w:t>
      </w:r>
      <w:r>
        <w:rPr>
          <w:lang w:val="en-US"/>
        </w:rPr>
        <w:t xml:space="preserve"> </w:t>
      </w:r>
      <w:r>
        <w:rPr>
          <w:lang w:val="en-US"/>
        </w:rPr>
        <w:t xml:space="preserve">gap between ethical prin­ci­ples and oper­a­tional mech­a­nisms [6, 14].</w:t>
      </w:r>
      <w:r>
        <w:rPr>
          <w:lang w:val="en-US"/>
        </w:rPr>
        <w:t xml:space="preserve"> </w:t>
      </w:r>
      <w:r>
        <w:rPr>
          <w:lang w:val="en-US"/>
        </w:rPr>
        <w:t xml:space="preserve">We build on this insight, but focus on a specific public-sector domain where legit­i­macy and recourse are central: edu­ca­tional decision support.</w:t>
      </w:r>
    </w:p>
    <w:bookmarkEnd w:id="20"/>
    <w:bookmarkStart w:id="21" w:name="X1431cc7b078802644d59b297ac950f35046afe8"/>
    <w:p>
      <w:pPr>
        <w:pStyle w:val="Head2"/>
        <w:keepNext/>
        <w:keepLines/>
        <w:widowControl w:val="1"/>
      </w:pPr>
      <w:r>
        <w:rPr>
          <w:lang w:val="en-US"/>
        </w:rPr>
        <w:t xml:space="preserve">3.3</w:t>
      </w:r>
      <w:r>
        <w:rPr>
          <w:lang w:val="en-US"/>
        </w:rPr>
        <w:t xml:space="preserve">  </w:t>
      </w:r>
      <w:r>
        <w:rPr>
          <w:lang w:val="en-US"/>
        </w:rPr>
        <w:t xml:space="preserve">Fairness Tooling, Trade-offs, and Preference-Based Selection</w:t>
      </w:r>
    </w:p>
    <w:p>
      <w:pPr>
        <w:pStyle w:val="Para"/>
        <w:widowControl w:val="1"/>
      </w:pPr>
      <w:r>
        <w:rPr>
          <w:lang w:val="en-US"/>
        </w:rPr>
        <w:t xml:space="preserve">Model-level toolkits such as Fairlearn and Aequitas provide prac­ti­cal metrics, mit­i­ga­tion strate­gies, and report­ing to support fairness eval­u­a­tion [21, 16].</w:t>
      </w:r>
      <w:r>
        <w:rPr>
          <w:lang w:val="en-US"/>
        </w:rPr>
        <w:t xml:space="preserve"> </w:t>
      </w:r>
      <w:r>
        <w:rPr>
          <w:lang w:val="en-US"/>
        </w:rPr>
        <w:t xml:space="preserve">However, they do not by them­selves specify insti­tu­tional pro­ce­dures for con­tes­ta­tion, nor do they enforce policy ver­sion­ing or create audit-ready decision arti­facts.</w:t>
      </w:r>
      <w:r>
        <w:rPr>
          <w:lang w:val="en-US"/>
        </w:rPr>
        <w:t xml:space="preserve"> </w:t>
      </w:r>
      <w:r>
        <w:rPr>
          <w:lang w:val="en-US"/>
        </w:rPr>
        <w:t xml:space="preserve">Trade-offs between utility, fairness, and other con­straints are unavoid­able; pref­er­ence-based selec­tion over Pareto-feasible can­di­dates has been explored in multiple forms, includ­ing</w:t>
      </w:r>
      <w:r>
        <w:rPr>
          <w:lang w:val="en-US"/>
        </w:rPr>
        <w:t xml:space="preserve"> </w:t>
      </w:r>
      <w:r>
        <w:rPr>
          <w:lang w:val="en-US"/>
        </w:rPr>
        <w:t xml:space="preserve">“fairness without harm”</w:t>
      </w:r>
      <w:r>
        <w:rPr>
          <w:lang w:val="en-US"/>
        </w:rPr>
        <w:t xml:space="preserve"> </w:t>
      </w:r>
      <w:r>
        <w:rPr>
          <w:lang w:val="en-US"/>
        </w:rPr>
        <w:t xml:space="preserve">style decision rules and policy-oriented selec­tion [20].</w:t>
      </w:r>
      <w:r>
        <w:rPr>
          <w:lang w:val="en-US"/>
        </w:rPr>
        <w:t xml:space="preserve"> </w:t>
      </w:r>
      <w:r>
        <w:rPr>
          <w:lang w:val="en-US"/>
        </w:rPr>
        <w:t xml:space="preserve">Our system-level con­tri­bu­tion is to embed such choices into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ver­sioned policy</w:t>
      </w:r>
      <w:r>
        <w:rPr>
          <w:lang w:val="en-US"/>
        </w:rPr>
        <w:t xml:space="preserve"> </w:t>
      </w:r>
      <w:r>
        <w:rPr>
          <w:lang w:val="en-US"/>
        </w:rPr>
        <w:t xml:space="preserve">and to couple selec­tion with a pro­ce­dural safe­guard (absten­tion to human review) and an artifact trail.</w:t>
      </w:r>
    </w:p>
    <w:bookmarkEnd w:id="21"/>
    <w:bookmarkStart w:id="22" w:name="algorithmic-systems-in-education"/>
    <w:p>
      <w:pPr>
        <w:pStyle w:val="Head2"/>
        <w:keepNext/>
        <w:keepLines/>
        <w:widowControl w:val="1"/>
      </w:pPr>
      <w:r>
        <w:rPr>
          <w:lang w:val="en-US"/>
        </w:rPr>
        <w:t xml:space="preserve">3.4</w:t>
      </w:r>
      <w:r>
        <w:rPr>
          <w:lang w:val="en-US"/>
        </w:rPr>
        <w:t xml:space="preserve">  </w:t>
      </w:r>
      <w:r>
        <w:rPr>
          <w:lang w:val="en-US"/>
        </w:rPr>
        <w:t xml:space="preserve">Algorithmic Systems in Education</w:t>
      </w:r>
    </w:p>
    <w:p>
      <w:pPr>
        <w:pStyle w:val="Para"/>
        <w:widowControl w:val="1"/>
      </w:pPr>
      <w:r>
        <w:rPr>
          <w:lang w:val="en-US"/>
        </w:rPr>
        <w:t xml:space="preserve">Educational pre­dic­tion systems (early warning, risk scoring, inter­ven­tion tar­get­ing) are wide­spread, but edu­ca­tional data often contains mea­sure­ment and his­tor­i­cal biases that com­pli­cate fairness claims [3].</w:t>
      </w:r>
      <w:r>
        <w:rPr>
          <w:lang w:val="en-US"/>
        </w:rPr>
        <w:t xml:space="preserve"> </w:t>
      </w:r>
      <w:r>
        <w:rPr>
          <w:lang w:val="en-US"/>
        </w:rPr>
        <w:t xml:space="preserve">Our setting there­fore empha­sizes gov­er­nance prac­tices (doc­u­men­ta­tion, auditabil­ity, and recourse) in addition to model metrics.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Abstention, selec­tive pre­dic­tion, and dis­tri­bu­tion-free uncer­tainty.</w:t>
      </w:r>
      <w:r>
        <w:rPr>
          <w:lang w:val="en-US"/>
        </w:rPr>
        <w:t xml:space="preserve"> </w:t>
      </w:r>
      <w:r>
        <w:rPr>
          <w:lang w:val="en-US"/>
        </w:rPr>
        <w:t xml:space="preserve">Our triage setting uses absten­tion (</w:t>
      </w:r>
      <w:r>
        <w:rPr>
          <w:lang w:val="en-US"/>
        </w:rPr>
        <w:t xml:space="preserve">“reject option”</w:t>
      </w:r>
      <w:r>
        <w:rPr>
          <w:lang w:val="en-US"/>
        </w:rPr>
        <w:t xml:space="preserve">) to route uncer­tain cases to humans. This idea has a long history in sta­tis­ti­cal decision theory (e.g., Chow’s rule) and has been revis­ited in modern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selec­tive clas­si­fi­ca­tion</w:t>
      </w:r>
      <w:r>
        <w:rPr>
          <w:lang w:val="en-US"/>
        </w:rPr>
        <w:t xml:space="preserve"> </w:t>
      </w:r>
      <w:r>
        <w:rPr>
          <w:lang w:val="en-US"/>
        </w:rPr>
        <w:t xml:space="preserve">and dis­tri­bu­tion-free uncer­tainty quan­tifi­ca­tion (e.g., SelectiveNet; con­for­mal prediction).[4, 11, 2] These lines of work motivate two design choices in our system: (i) treating high absten­tion as a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gov­er­nance signal</w:t>
      </w:r>
      <w:r>
        <w:rPr>
          <w:lang w:val="en-US"/>
        </w:rPr>
        <w:t xml:space="preserve"> </w:t>
      </w:r>
      <w:r>
        <w:rPr>
          <w:lang w:val="en-US"/>
        </w:rPr>
        <w:t xml:space="preserve">rather than a silent knob, and (ii) record­ing the absten­tion policy in a replayable artifact so that insti­tu­tions can audit when and why auto­ma­tion deferred to humans.</w:t>
      </w:r>
    </w:p>
    <w:bookmarkEnd w:id="22"/>
    <w:bookmarkEnd w:id="23"/>
    <w:bookmarkStart w:id="29" w:name="sec:method"/>
    <w:p>
      <w:pPr>
        <w:pStyle w:val="Head1"/>
        <w:keepNext/>
        <w:keepLines/>
        <w:widowControl w:val="1"/>
      </w:pPr>
      <w:r>
        <w:rPr>
          <w:lang w:val="en-US"/>
        </w:rPr>
        <w:t xml:space="preserve">4</w:t>
      </w:r>
      <w:r>
        <w:rPr>
          <w:lang w:val="en-US"/>
        </w:rPr>
        <w:t xml:space="preserve">  </w:t>
      </w:r>
      <w:r>
        <w:rPr>
          <w:lang w:val="en-US"/>
        </w:rPr>
        <w:t xml:space="preserve">Method: Policy, Decisions and Artifacts</w:t>
      </w:r>
    </w:p>
    <w:bookmarkStart w:id="24" w:name="design-scope"/>
    <w:p>
      <w:pPr>
        <w:pStyle w:val="Head2"/>
        <w:keepNext/>
        <w:keepLines/>
        <w:widowControl w:val="1"/>
      </w:pPr>
      <w:r>
        <w:rPr>
          <w:lang w:val="en-US"/>
        </w:rPr>
        <w:t xml:space="preserve">4.1</w:t>
      </w:r>
      <w:r>
        <w:rPr>
          <w:lang w:val="en-US"/>
        </w:rPr>
        <w:t xml:space="preserve">  </w:t>
      </w:r>
      <w:r>
        <w:rPr>
          <w:lang w:val="en-US"/>
        </w:rPr>
        <w:t xml:space="preserve">Design scope</w:t>
      </w:r>
    </w:p>
    <w:p>
      <w:pPr>
        <w:pStyle w:val="Para"/>
        <w:widowControl w:val="1"/>
      </w:pPr>
      <w:r>
        <w:rPr>
          <w:lang w:val="en-US"/>
        </w:rPr>
        <w:t xml:space="preserve">Our design makes insti­tu­tional choices explicit, pre­serves evidence for audit, sep­a­rates scoring from sen­si­tive-attribute auditing, and treats absten­tion as a request for human con­sid­er­a­tion. The six COMPASS com­mit­ments—dignity, cor­rect­ness, trans­parency, harmony, prac­ti­cal wisdom and active com­pas­sion—organize require­ments; they are a domain-specific design vocab­u­lary, not an exhaus­tive ethical theory. In the eval­u­ated release the enforced numer­i­cal con­straints are a fairness-gap cap and an auto­ma­tion-coverage floor. Documentation, intel­li­gi­bil­ity and insti­tu­tional recourse remain separate require­ments.</w:t>
      </w:r>
    </w:p>
    <w:bookmarkEnd w:id="24"/>
    <w:bookmarkStart w:id="26" w:name="sec:decision-rule"/>
    <w:p>
      <w:pPr>
        <w:pStyle w:val="Head2"/>
        <w:keepNext/>
        <w:keepLines/>
        <w:widowControl w:val="1"/>
      </w:pPr>
      <w:r>
        <w:rPr>
          <w:lang w:val="en-US"/>
        </w:rPr>
        <w:t xml:space="preserve">4.2</w:t>
      </w:r>
      <w:r>
        <w:rPr>
          <w:lang w:val="en-US"/>
        </w:rPr>
        <w:t xml:space="preserve">  </w:t>
      </w:r>
      <w:r>
        <w:rPr>
          <w:lang w:val="en-US"/>
        </w:rPr>
        <w:t xml:space="preserve">Decision rule and units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A score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</m:oMath>
      <w:r>
        <w:rPr>
          <w:lang w:val="en-US"/>
        </w:rPr>
        <w:t xml:space="preserve"> </w:t>
      </w:r>
      <w:r>
        <w:rPr>
          <w:lang w:val="en-US"/>
        </w:rPr>
        <w:t xml:space="preserve">esti­mates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Pr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∣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</m:oMath>
      <w:r>
        <w:rPr>
          <w:lang w:val="en-US"/>
        </w:rPr>
        <w:t xml:space="preserve">. All reported rankings are descend­ing. Binary pre­dic­tive entropy is</w:t>
      </w:r>
    </w:p>
    <w:p>
      <w:pPr>
        <w:pStyle w:val="DisplayFormulaUnnum"/>
        <w:widowControl w:val="1"/>
        <w:rPr>
          <w:sz w:val="20"/>
        </w:rPr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u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=</m:t>
          </m:r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−</m:t>
          </m:r>
          <m:sSub>
            <m:e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sub>
          </m:sSub>
          <m:sSub>
            <m:e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log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2</m:t>
              </m:r>
            </m:sub>
          </m:sSub>
          <m:sSub>
            <m:e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−</m:t>
          </m:r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(</m:t>
          </m:r>
          <m:r>
            <w:rPr>
              <w:rFonts w:ascii="DejaVu Math TeX Gyre" w:hAnsi="DejaVu Math TeX Gyre"/>
              <w:sz w:val="20"/>
              <w:szCs w:val="20"/>
              <w:lang w:val="en-US"/>
            </w:rPr>
            <m:t>1</m:t>
          </m:r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−</m:t>
          </m:r>
          <m:sSub>
            <m:e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)</m:t>
          </m:r>
          <m:sSub>
            <m:e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log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(</m:t>
          </m:r>
          <m:r>
            <w:rPr>
              <w:rFonts w:ascii="DejaVu Math TeX Gyre" w:hAnsi="DejaVu Math TeX Gyre"/>
              <w:sz w:val="20"/>
              <w:szCs w:val="20"/>
              <w:lang w:val="en-US"/>
            </w:rPr>
            <m:t>1</m:t>
          </m:r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−</m:t>
          </m:r>
          <m:sSub>
            <m:e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)</m:t>
          </m:r>
          <m:r>
            <m:rPr>
              <m:sty m:val="p"/>
            </m:rPr>
            <w:rPr>
              <w:rFonts w:ascii="DejaVu Math TeX Gyre" w:hAnsi="DejaVu Math TeX Gyre"/>
              <w:sz w:val="20"/>
              <w:szCs w:val="20"/>
              <w:lang w:val="en-US"/>
            </w:rPr>
            <m:t>,</m:t>
          </m:r>
        </m:oMath>
      </m:oMathPara>
    </w:p>
    <w:p>
      <w:pPr>
        <w:pStyle w:val="Para"/>
        <w:widowControl w:val="1"/>
        <w:jc w:val="left"/>
        <w:rPr>
          <w:sz w:val="20"/>
        </w:rPr>
      </w:pPr>
      <w:r>
        <w:rPr>
          <w:lang w:val="en-US"/>
        </w:rPr>
        <w:t xml:space="preserve">where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</m:oMath>
      <w:r>
        <w:rPr>
          <w:lang w:val="en-US"/>
        </w:rPr>
        <w:t xml:space="preserve"> </w:t>
      </w:r>
      <w:r>
        <w:rPr>
          <w:lang w:val="en-US"/>
        </w:rPr>
        <w:t xml:space="preserve">clips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</m:oMath>
      <w:r>
        <w:rPr>
          <w:lang w:val="en-US"/>
        </w:rPr>
        <w:t xml:space="preserve"> </w:t>
      </w:r>
      <w:r>
        <w:rPr>
          <w:lang w:val="en-US"/>
        </w:rPr>
        <w:t xml:space="preserve">to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[</m:t>
        </m:r>
        <m:sSup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−</m:t>
            </m:r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−</m:t>
        </m:r>
        <m:sSup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−</m:t>
            </m:r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]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in float64. Entropy and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are in bits; the maximum is one. Thus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0.999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need not admit every case. Invalid prob­a­bil­i­ties and incom­pat­i­ble units are rejected.</w:t>
      </w:r>
    </w:p>
    <w:p>
      <w:pPr>
        <w:pStyle w:val="Para"/>
        <w:widowControl w:val="1"/>
        <w:jc w:val="left"/>
        <w:rPr>
          <w:sz w:val="20"/>
        </w:rPr>
      </w:pPr>
      <w:r>
        <w:rPr>
          <w:lang w:val="en-US"/>
        </w:rPr>
        <w:t xml:space="preserve">The primary rule applies global absten­tion first: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u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&gt;</m:t>
        </m:r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yields</w:t>
      </w:r>
      <w:r>
        <w:rPr>
          <w:lang w:val="en-US"/>
        </w:rPr>
        <w:t xml:space="preserve"> </w:t>
      </w:r>
      <w:r>
        <w:rPr>
          <w:lang w:val="en-US"/>
        </w:rPr>
        <w:t xml:space="preserve">abstain</w:t>
      </w:r>
      <w:r>
        <w:rPr>
          <w:lang w:val="en-US"/>
        </w:rPr>
        <w:t xml:space="preserve">. Among eligible cases, the highest scores are selected up to capacity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. Equal scores are resolved by ascend­ing per­sis­tent case ID.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is a ceiling: fewer than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cases may be selected. In allo­ca­tion mode the remain­der is</w:t>
      </w:r>
      <w:r>
        <w:rPr>
          <w:lang w:val="en-US"/>
        </w:rPr>
        <w:t xml:space="preserve"> </w:t>
      </w:r>
      <w:r>
        <w:rPr>
          <w:lang w:val="en-US"/>
        </w:rPr>
        <w:t xml:space="preserve">reject</w:t>
      </w:r>
      <w:r>
        <w:rPr>
          <w:lang w:val="en-US"/>
        </w:rPr>
        <w:t xml:space="preserve">; in screen­ing mode it is</w:t>
      </w:r>
      <w:r>
        <w:rPr>
          <w:lang w:val="en-US"/>
        </w:rPr>
        <w:t xml:space="preserve"> </w:t>
      </w:r>
      <w:r>
        <w:rPr>
          <w:lang w:val="en-US"/>
        </w:rPr>
        <w:t xml:space="preserve">abstain</w:t>
      </w:r>
      <w:r>
        <w:rPr>
          <w:lang w:val="en-US"/>
        </w:rPr>
        <w:t xml:space="preserve">. The alter­na­tive Top-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-only absten­tion mode first nom­i­nates the global Top-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, abstains uncer­tain nominees and does not refill their places. These modes are explicit policy fields in the revised imple­men­ta­tion.</w:t>
      </w:r>
    </w:p>
    <w:bookmarkStart w:id="25" w:name="tab:decision_states"/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4: Candidate decision states. A separate run-level gate determines whether export is authorized.</w:t>
      </w:r>
    </w:p>
    <w:tbl>
      <w:tblPr>
        <w:tblStyle w:val="TableNormal"/>
        <w:tblW w:type="dxa" w:w="480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4: Candidate decision states. A separate run-level gate determines whether export is authorized."/>
      </w:tblPr>
      <w:tblGrid>
        <w:gridCol w:w="1248"/>
        <w:gridCol w:w="3552"/>
      </w:tblGrid>
      <w:tr>
        <w:trPr>
          <w:tblHeader w:val="on"/>
          <w:cantSplit/>
          <w:tblHeader/>
        </w:trPr>
        <w:tc>
          <w:tcPr>
            <w:tcW w:type="dxa" w:w="124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State</w:t>
            </w:r>
          </w:p>
        </w:tc>
        <w:tc>
          <w:tcPr>
            <w:tcW w:type="dxa" w:w="355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Accounting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select</w:t>
            </w:r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Within capacity; counts toward selection and automation.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reject</w:t>
            </w:r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Automated non-selection; counts toward automation.</w:t>
            </w:r>
          </w:p>
        </w:tc>
      </w:tr>
      <w:tr>
        <w:trPr>
          <w:cantSplit/>
        </w:trPr>
        <w:tc>
          <w:tcPr>
            <w:tcW w:type="dxa" w:w="124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abstain</w:t>
            </w:r>
          </w:p>
        </w:tc>
        <w:tc>
          <w:tcPr>
            <w:tcW w:type="dxa" w:w="355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Request for review; excluded from automation coverage.</w:t>
            </w:r>
          </w:p>
        </w:tc>
      </w:tr>
    </w:tbl>
    <w:bookmarkEnd w:id="25"/>
    <w:p>
      <w:pPr>
        <w:pStyle w:val="Para"/>
        <w:widowControl w:val="1"/>
        <w:jc w:val="left"/>
        <w:rPr>
          <w:sz w:val="20"/>
        </w:rPr>
      </w:pPr>
      <w:r>
        <w:rPr>
          <w:b/>
          <w:bCs/>
          <w:lang w:val="en-US"/>
        </w:rPr>
        <w:t xml:space="preserve">Metrics.</w:t>
      </w:r>
      <w:r>
        <w:rPr>
          <w:lang w:val="en-US"/>
        </w:rPr>
        <w:t xml:space="preserve"> </w:t>
      </w:r>
      <w:r>
        <w:rPr>
          <w:lang w:val="en-US"/>
        </w:rPr>
        <w:t xml:space="preserve">Let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r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a</m:t>
            </m:r>
          </m:sub>
        </m:sSub>
      </m:oMath>
      <w:r>
        <w:rPr>
          <w:lang w:val="en-US"/>
        </w:rPr>
        <w:t xml:space="preserve"> </w:t>
      </w:r>
      <w:r>
        <w:rPr>
          <w:lang w:val="en-US"/>
        </w:rPr>
        <w:t xml:space="preserve">count select, reject and abstain, with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+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r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+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a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</m:oMath>
      <w:r>
        <w:rPr>
          <w:lang w:val="en-US"/>
        </w:rPr>
        <w:t xml:space="preserve">. Automation coverage is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C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+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r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−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a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</m:oMath>
      <w:r>
        <w:rPr>
          <w:lang w:val="en-US"/>
        </w:rPr>
        <w:t xml:space="preserve">; selec­tion rate is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</m:oMath>
      <w:r>
        <w:rPr>
          <w:lang w:val="en-US"/>
        </w:rPr>
        <w:t xml:space="preserve">. In screen­ing mode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C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≤</m:t>
        </m:r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</m:oMath>
      <w:r>
        <w:rPr>
          <w:lang w:val="en-US"/>
        </w:rPr>
        <w:t xml:space="preserve">, so a floor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&gt;</m:t>
        </m:r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is struc­turally infea­si­ble. Changing a deferral into a rejec­tion changes insti­tu­tional respon­si­bil­ity; it does not demon­strate greater edu­ca­tional benefit.</w:t>
      </w:r>
    </w:p>
    <w:p>
      <w:pPr>
        <w:pStyle w:val="Para"/>
        <w:widowControl w:val="1"/>
        <w:jc w:val="left"/>
        <w:rPr>
          <w:sz w:val="20"/>
        </w:rPr>
      </w:pPr>
      <w:r>
        <w:rPr>
          <w:lang w:val="en-US"/>
        </w:rPr>
        <w:t xml:space="preserve">Utility@K is</w:t>
      </w:r>
      <w:r>
        <w:rPr>
          <w:lang w:val="en-US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i</m:t>
            </m:r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:</m:t>
            </m:r>
            <m:sSub>
              <m:e>
                <m:r>
                  <w:rPr>
                    <w:rFonts w:ascii="DejaVu Math TeX Gyre" w:hAnsi="DejaVu Math TeX Gyre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DejaVu Math TeX Gyre" w:hAnsi="DejaVu Math TeX Gyre"/>
                    <w:sz w:val="20"/>
                    <w:szCs w:val="20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=</m:t>
            </m:r>
            <m:r>
              <m:rPr>
                <m:nor/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select</m:t>
            </m:r>
          </m:sub>
          <m:sup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​</m:t>
            </m:r>
          </m:sup>
          <m:e>
            <m:sSub>
              <m:e>
                <m:r>
                  <w:rPr>
                    <w:rFonts w:ascii="DejaVu Math TeX Gyre" w:hAnsi="DejaVu Math TeX Gyre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DejaVu Math TeX Gyre" w:hAnsi="DejaVu Math TeX Gyre"/>
                    <w:sz w:val="20"/>
                    <w:szCs w:val="20"/>
                    <w:lang w:val="en-US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/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s</m:t>
            </m:r>
          </m:sub>
        </m:sSub>
      </m:oMath>
      <w:r>
        <w:rPr>
          <w:lang w:val="en-US"/>
        </w:rPr>
        <w:t xml:space="preserve">, unde­fined for empty selec­tion. For binary audit groups we report the absolute gap between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Pr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r>
          <w:rPr>
            <w:rFonts w:ascii="DejaVu Math TeX Gyre" w:hAnsi="DejaVu Math TeX Gyre"/>
            <w:sz w:val="20"/>
            <w:szCs w:val="20"/>
            <w:lang w:val="en-US"/>
          </w:rPr>
          <m:t>d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m:rPr>
            <m:nor/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select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∣</m:t>
        </m:r>
        <m:r>
          <w:rPr>
            <w:rFonts w:ascii="DejaVu Math TeX Gyre" w:hAnsi="DejaVu Math TeX Gyre"/>
            <w:sz w:val="20"/>
            <w:szCs w:val="20"/>
            <w:lang w:val="en-US"/>
          </w:rPr>
          <m:t>y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a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Pr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r>
          <w:rPr>
            <w:rFonts w:ascii="DejaVu Math TeX Gyre" w:hAnsi="DejaVu Math TeX Gyre"/>
            <w:sz w:val="20"/>
            <w:szCs w:val="20"/>
            <w:lang w:val="en-US"/>
          </w:rPr>
          <m:t>d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m:rPr>
            <m:nor/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select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∣</m:t>
        </m:r>
        <m:r>
          <w:rPr>
            <w:rFonts w:ascii="DejaVu Math TeX Gyre" w:hAnsi="DejaVu Math TeX Gyre"/>
            <w:sz w:val="20"/>
            <w:szCs w:val="20"/>
            <w:lang w:val="en-US"/>
          </w:rPr>
          <m:t>y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a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</m:oMath>
      <w:r>
        <w:rPr>
          <w:lang w:val="en-US"/>
        </w:rPr>
        <w:t xml:space="preserve">. Positive-label denom­i­na­tors include all cases in each group, not only eligible cases. A missing group or zero positive denom­i­na­tor produces insuf­fi­cient evidence, not a zero gap. Labels support ret­ro­spec­tive eval­u­a­tion; they are not inputs required to replay a future decision.</w:t>
      </w:r>
    </w:p>
    <w:bookmarkEnd w:id="26"/>
    <w:bookmarkStart w:id="27" w:name="sec:ecl"/>
    <w:p>
      <w:pPr>
        <w:pStyle w:val="Head2"/>
        <w:keepNext/>
        <w:keepLines/>
        <w:widowControl w:val="1"/>
      </w:pPr>
      <w:r>
        <w:rPr>
          <w:lang w:val="en-US"/>
        </w:rPr>
        <w:t xml:space="preserve">4.3</w:t>
      </w:r>
      <w:r>
        <w:rPr>
          <w:lang w:val="en-US"/>
        </w:rPr>
        <w:t xml:space="preserve">  </w:t>
      </w:r>
      <w:r>
        <w:rPr>
          <w:lang w:val="en-US"/>
        </w:rPr>
        <w:t xml:space="preserve">ECL and the authorization boundary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ECL checks a can­di­date against declared empir­i­cal con­straints. The paper sweep uses gap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≤</m:t>
        </m:r>
        <m:r>
          <w:rPr>
            <w:rFonts w:ascii="DejaVu Math TeX Gyre" w:hAnsi="DejaVu Math TeX Gyre"/>
            <w:sz w:val="20"/>
            <w:szCs w:val="20"/>
            <w:lang w:val="en-US"/>
          </w:rPr>
          <m:t>0.05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 coverage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≥</m:t>
        </m:r>
        <m:r>
          <w:rPr>
            <w:rFonts w:ascii="DejaVu Math TeX Gyre" w:hAnsi="DejaVu Math TeX Gyre"/>
            <w:sz w:val="20"/>
            <w:szCs w:val="20"/>
            <w:lang w:val="en-US"/>
          </w:rPr>
          <m:t>0.50</m:t>
        </m:r>
      </m:oMath>
      <w:r>
        <w:rPr>
          <w:lang w:val="en-US"/>
        </w:rPr>
        <w:t xml:space="preserve">. These are example nor­ma­tive choices, not uni­ver­sal safety thresh­olds. The his­tor­i­cal syn­thetic recipe used a 0.60 coverage floor; the common replay analysis explic­itly uses 0.50. Both reject its initial 0.004 coverage.</w:t>
      </w:r>
    </w:p>
    <w:p>
      <w:pPr>
        <w:pStyle w:val="Para"/>
        <w:widowControl w:val="1"/>
      </w:pPr>
      <w:r>
        <w:rPr>
          <w:lang w:val="en-US"/>
        </w:rPr>
        <w:t xml:space="preserve">Historical runs recorded vio­la­tions while retain­ing can­di­date deci­sions. The revised runner addi­tion­ally writes an autho­riza­tion gate: an infea­si­ble or insuf­fi­cient-evidence result cannot produce an autho­rized-decision export. Candidate packets remain avail­able for diag­no­sis. A review-required record is gen­er­ated, but no human queue is con­nected and no deliv­ered review is claimed. Statistical fea­si­bil­ity on an audit sample does not certify future pop­u­la­tion fairness or legal com­pli­ance.</w:t>
      </w:r>
    </w:p>
    <w:bookmarkEnd w:id="27"/>
    <w:bookmarkStart w:id="28" w:name="candidate-search-and-mas"/>
    <w:p>
      <w:pPr>
        <w:pStyle w:val="Head2"/>
        <w:keepNext/>
        <w:keepLines/>
        <w:widowControl w:val="1"/>
      </w:pPr>
      <w:r>
        <w:rPr>
          <w:lang w:val="en-US"/>
        </w:rPr>
        <w:t xml:space="preserve">4.4</w:t>
      </w:r>
      <w:r>
        <w:rPr>
          <w:lang w:val="en-US"/>
        </w:rPr>
        <w:t xml:space="preserve">  </w:t>
      </w:r>
      <w:r>
        <w:rPr>
          <w:lang w:val="en-US"/>
        </w:rPr>
        <w:t xml:space="preserve">Candidate search and MAS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Candidates in the reported exper­i­ment reuse fixed scores and vary policy only. We dis­tin­guish the full 80-point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grid from its 16-point fixed-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subset. Each can­di­date has an ID defined by dataset, capacity and thresh­old. The revised runner also supports an explicit policy grid and stores all can­di­dates and the selec­tion report.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Algorithm 1 Revised empir­i­cal ECL Pareto MAS selec­tion</w:t>
      </w:r>
    </w:p>
    <w:p>
      <w:pPr>
        <w:pStyle w:val="Para"/>
        <w:widowControl w:val="1"/>
        <w:numPr>
          <w:ilvl w:val="0"/>
          <w:numId w:val="2002"/>
        </w:numPr>
        <w:jc w:val="left"/>
        <w:rPr>
          <w:sz w:val="20"/>
        </w:rPr>
      </w:pPr>
      <w:r>
        <w:rPr>
          <w:lang w:val="en-US"/>
        </w:rPr>
        <w:t xml:space="preserve">Input: can­di­date set</w:t>
      </w:r>
      <w:r>
        <w:rPr>
          <w:lang w:val="en-US"/>
        </w:rPr>
        <w:t xml:space="preserve"> </w:t>
      </w:r>
      <m:oMath>
        <m:r>
          <m:rPr>
            <m:scr m:val="script"/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C</m:t>
        </m:r>
      </m:oMath>
      <w:r>
        <w:rPr>
          <w:lang w:val="en-US"/>
        </w:rPr>
        <w:t xml:space="preserve">, con­straints, ordered criteria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T</m:t>
        </m:r>
      </m:oMath>
      <w:r>
        <w:rPr>
          <w:lang w:val="en-US"/>
        </w:rPr>
        <w:t xml:space="preserve">, tol­er­ances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δ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lang w:val="en-US"/>
        </w:rPr>
        <w:t xml:space="preserve">.</w:t>
      </w:r>
    </w:p>
    <w:p>
      <w:pPr>
        <w:pStyle w:val="Para"/>
        <w:widowControl w:val="1"/>
        <w:numPr>
          <w:ilvl w:val="0"/>
          <w:numId w:val="2002"/>
        </w:numPr>
        <w:rPr>
          <w:sz w:val="20"/>
        </w:rPr>
      </w:pPr>
      <w:r>
        <w:rPr>
          <w:lang w:val="en-US"/>
        </w:rPr>
        <w:t xml:space="preserve">Filter can­di­dates to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F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with finite objec­tives sat­is­fy­ing the con­straints.</w:t>
      </w:r>
    </w:p>
    <w:p>
      <w:pPr>
        <w:pStyle w:val="Para"/>
        <w:widowControl w:val="1"/>
        <w:numPr>
          <w:ilvl w:val="0"/>
          <w:numId w:val="2002"/>
        </w:numPr>
        <w:rPr>
          <w:sz w:val="20"/>
        </w:rPr>
      </w:pPr>
      <w:r>
        <w:rPr>
          <w:lang w:val="en-US"/>
        </w:rPr>
        <w:t xml:space="preserve">If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F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⌀</m:t>
        </m:r>
      </m:oMath>
      <w:r>
        <w:rPr>
          <w:lang w:val="en-US"/>
        </w:rPr>
        <w:t xml:space="preserve">, return infea­si­ble and close the autho­riza­tion gate.</w:t>
      </w:r>
    </w:p>
    <w:p>
      <w:pPr>
        <w:pStyle w:val="Para"/>
        <w:widowControl w:val="1"/>
        <w:numPr>
          <w:ilvl w:val="0"/>
          <w:numId w:val="2002"/>
        </w:numPr>
        <w:rPr>
          <w:sz w:val="20"/>
        </w:rPr>
      </w:pPr>
      <w:r>
        <w:rPr>
          <w:lang w:val="en-US"/>
        </w:rPr>
        <w:t xml:space="preserve">Replace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F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with its non­dom­i­nated can­di­dates.</w:t>
      </w:r>
    </w:p>
    <w:p>
      <w:pPr>
        <w:pStyle w:val="Para"/>
        <w:widowControl w:val="1"/>
        <w:numPr>
          <w:ilvl w:val="0"/>
          <w:numId w:val="2002"/>
        </w:numPr>
        <w:jc w:val="left"/>
        <w:rPr>
          <w:sz w:val="20"/>
        </w:rPr>
      </w:pPr>
      <w:r>
        <w:rPr>
          <w:lang w:val="en-US"/>
        </w:rPr>
        <w:t xml:space="preserve">For each cri­te­rion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t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in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T</m:t>
        </m:r>
      </m:oMath>
      <w:r>
        <w:rPr>
          <w:lang w:val="en-US"/>
        </w:rPr>
        <w:t xml:space="preserve">, compute its best value</w:t>
      </w:r>
      <w:r>
        <w:rPr>
          <w:lang w:val="en-US"/>
        </w:rPr>
        <w:t xml:space="preserve"> </w:t>
      </w:r>
      <m:oMath>
        <m:sSup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v</m:t>
            </m:r>
          </m:e>
          <m:sup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*</m:t>
            </m:r>
          </m:sup>
        </m:sSup>
      </m:oMath>
      <w:r>
        <w:rPr>
          <w:lang w:val="en-US"/>
        </w:rPr>
        <w:t xml:space="preserve"> </w:t>
      </w:r>
      <w:r>
        <w:rPr>
          <w:lang w:val="en-US"/>
        </w:rPr>
        <w:t xml:space="preserve">and retain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{</m:t>
        </m:r>
        <m:r>
          <w:rPr>
            <w:rFonts w:ascii="DejaVu Math TeX Gyre" w:hAnsi="DejaVu Math TeX Gyre"/>
            <w:sz w:val="20"/>
            <w:szCs w:val="20"/>
            <w:lang w:val="en-US"/>
          </w:rPr>
          <m:t>c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∈</m:t>
        </m:r>
        <m:r>
          <w:rPr>
            <w:rFonts w:ascii="DejaVu Math TeX Gyre" w:hAnsi="DejaVu Math TeX Gyre"/>
            <w:sz w:val="20"/>
            <w:szCs w:val="20"/>
            <w:lang w:val="en-US"/>
          </w:rPr>
          <m:t>F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: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|</m:t>
        </m:r>
        <m:r>
          <w:rPr>
            <w:rFonts w:ascii="DejaVu Math TeX Gyre" w:hAnsi="DejaVu Math TeX Gyre"/>
            <w:sz w:val="20"/>
            <w:szCs w:val="20"/>
            <w:lang w:val="en-US"/>
          </w:rPr>
          <m:t>t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(</m:t>
        </m:r>
        <m:r>
          <w:rPr>
            <w:rFonts w:ascii="DejaVu Math TeX Gyre" w:hAnsi="DejaVu Math TeX Gyre"/>
            <w:sz w:val="20"/>
            <w:szCs w:val="20"/>
            <w:lang w:val="en-US"/>
          </w:rPr>
          <m:t>c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)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−</m:t>
        </m:r>
        <m:sSup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v</m:t>
            </m:r>
          </m:e>
          <m:sup>
            <m:r>
              <m:rPr>
                <m:sty m:val="p"/>
              </m:rPr>
              <w:rPr>
                <w:rFonts w:ascii="DejaVu Math TeX Gyre" w:hAnsi="DejaVu Math TeX Gyre"/>
                <w:sz w:val="20"/>
                <w:szCs w:val="20"/>
                <w:lang w:val="en-US"/>
              </w:rPr>
              <m:t>*</m:t>
            </m:r>
          </m:sup>
        </m:sSup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|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≤</m:t>
        </m:r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δ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t</m:t>
            </m:r>
          </m:sub>
        </m:sSub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}</m:t>
        </m:r>
      </m:oMath>
      <w:r>
        <w:rPr>
          <w:lang w:val="en-US"/>
        </w:rPr>
        <w:t xml:space="preserve">.</w:t>
      </w:r>
    </w:p>
    <w:p>
      <w:pPr>
        <w:pStyle w:val="Para"/>
        <w:widowControl w:val="1"/>
        <w:numPr>
          <w:ilvl w:val="0"/>
          <w:numId w:val="2002"/>
        </w:numPr>
        <w:rPr>
          <w:sz w:val="20"/>
        </w:rPr>
      </w:pPr>
      <w:r>
        <w:rPr>
          <w:lang w:val="en-US"/>
        </w:rPr>
        <w:t xml:space="preserve">Return the can­di­date with the smallest per­sis­tent ID in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F</m:t>
        </m:r>
      </m:oMath>
      <w:r>
        <w:rPr>
          <w:lang w:val="en-US"/>
        </w:rPr>
        <w:t xml:space="preserve">.</w:t>
      </w:r>
    </w:p>
    <w:p>
      <w:pPr>
        <w:pStyle w:val="Para"/>
        <w:widowControl w:val="1"/>
      </w:pPr>
      <w:r>
        <w:rPr>
          <w:lang w:val="en-US"/>
        </w:rPr>
        <w:t xml:space="preserve">Pareto dom­i­nance is exact over maximize utility, minimize absolute gap and minimize absten­tion. Equivalent can­di­dates remain on the frontier. Fairness-first orders gap, utility, absten­tion; utility-first orders utility, gap, absten­tion. All reported tol­er­ances are zero; the can­di­date ID is the final tie-breaker. These con­ven­tions replace his­tor­i­cal under­spec­i­fi­ca­tion and are recorded with each revised analysis. Repeated selec­tion under an unchanged policy must be invari­ant to input row order. Changing cri­te­rion order tests policy sen­si­tiv­ity, not deter­min­ism by itself.</w:t>
      </w:r>
    </w:p>
    <w:bookmarkEnd w:id="28"/>
    <w:bookmarkEnd w:id="29"/>
    <w:bookmarkStart w:id="30" w:name="sec:design"/>
    <w:p>
      <w:pPr>
        <w:pStyle w:val="Head1"/>
        <w:keepNext/>
        <w:keepLines/>
        <w:widowControl w:val="1"/>
      </w:pPr>
      <w:r>
        <w:rPr>
          <w:lang w:val="en-US"/>
        </w:rPr>
        <w:t xml:space="preserve">5</w:t>
      </w:r>
      <w:r>
        <w:rPr>
          <w:lang w:val="en-US"/>
        </w:rPr>
        <w:t xml:space="preserve">  </w:t>
      </w:r>
      <w:r>
        <w:rPr>
          <w:lang w:val="en-US"/>
        </w:rPr>
        <w:t xml:space="preserve">Design Properties and Their Limits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G1: Rule-aligned audit.</w:t>
      </w:r>
      <w:r>
        <w:rPr>
          <w:lang w:val="en-US"/>
        </w:rPr>
        <w:t xml:space="preserve"> </w:t>
      </w:r>
      <w:r>
        <w:rPr>
          <w:lang w:val="en-US"/>
        </w:rPr>
        <w:t xml:space="preserve">Metrics and con­straint checks use the decision states actually emitted by a spec­i­fied rule. This prevents a training-score metric from being mistaken for deployed-rule com­pli­ance. Historical outputs and revised deci­sions are rec­on­ciled sep­a­rately.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G2: Reproducible policy selec­tion.</w:t>
      </w:r>
      <w:r>
        <w:rPr>
          <w:lang w:val="en-US"/>
        </w:rPr>
        <w:t xml:space="preserve"> </w:t>
      </w:r>
      <w:r>
        <w:rPr>
          <w:lang w:val="en-US"/>
        </w:rPr>
        <w:t xml:space="preserve">With the same scored cases, IDs, can­di­date domain, objec­tives, policy and numer­i­cal con­ven­tions, the revised imple­men­ta­tion applies exact Pareto fil­ter­ing and deter­min­is­tic tie-breaking. Tests include permuted cases and can­di­dates. This is a com­pu­ta­tional property, not a claim of sta­bil­ity under new training samples or insti­tu­tional pref­er­ences.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G3: Explicit failure.</w:t>
      </w:r>
      <w:r>
        <w:rPr>
          <w:lang w:val="en-US"/>
        </w:rPr>
        <w:t xml:space="preserve"> </w:t>
      </w:r>
      <w:r>
        <w:rPr>
          <w:lang w:val="en-US"/>
        </w:rPr>
        <w:t xml:space="preserve">An empty feasible set or insuf­fi­cient evidence closes the revised autho­riza­tion gate. The his­tor­i­cal code reported vio­la­tions but did not estab­lish that oper­a­tional block. Neither version demon­strates a com­pleted human review or insti­tu­tional remedy.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G4: Evidence integrity.</w:t>
      </w:r>
      <w:r>
        <w:rPr>
          <w:lang w:val="en-US"/>
        </w:rPr>
        <w:t xml:space="preserve"> </w:t>
      </w:r>
      <w:r>
        <w:rPr>
          <w:lang w:val="en-US"/>
        </w:rPr>
        <w:t xml:space="preserve">The revised verifier checks packet hashes, policy content, dataset-manifest bytes, fitted-model bytes, schema fields and decision replay. It never dese­ri­al­izes an untrusted model merely to verify its hash. Passing these checks estab­lishes internal con­sis­tency, not truth of the source data, inde­pen­dent authen­tic­ity, absence of dis­crim­i­na­tory proxies, or mean­ing­ful access to recourse.</w:t>
      </w:r>
    </w:p>
    <w:p>
      <w:pPr>
        <w:pStyle w:val="Para"/>
        <w:widowControl w:val="1"/>
      </w:pPr>
      <w:r>
        <w:rPr>
          <w:lang w:val="en-US"/>
        </w:rPr>
        <w:t xml:space="preserve">All numer­i­cal con­straints are ret­ro­spec­tive sample checks. New cases require mon­i­tor­ing and an appro­pri­ate eval­u­a­tion design; gen­er­al­iza­tion guar­an­tees are outside this paper. Raising an entropy thresh­old can increase auto­ma­tion while admit­ting more errors. Neither lower absten­tion nor suc­cess­ful replay estab­lishes improved edu­ca­tional outcomes.</w:t>
      </w:r>
    </w:p>
    <w:bookmarkEnd w:id="30"/>
    <w:bookmarkStart w:id="34" w:name="sec:experiments"/>
    <w:p>
      <w:pPr>
        <w:pStyle w:val="Head1"/>
        <w:keepNext/>
        <w:keepLines/>
        <w:widowControl w:val="1"/>
      </w:pPr>
      <w:r>
        <w:rPr>
          <w:lang w:val="en-US"/>
        </w:rPr>
        <w:t xml:space="preserve">6</w:t>
      </w:r>
      <w:r>
        <w:rPr>
          <w:lang w:val="en-US"/>
        </w:rPr>
        <w:t xml:space="preserve">  </w:t>
      </w:r>
      <w:r>
        <w:rPr>
          <w:lang w:val="en-US"/>
        </w:rPr>
        <w:t xml:space="preserve">Experimental Setup</w:t>
      </w:r>
    </w:p>
    <w:bookmarkStart w:id="31" w:name="historical-data-and-evaluation-scope"/>
    <w:p>
      <w:pPr>
        <w:pStyle w:val="Head2"/>
        <w:keepNext/>
        <w:keepLines/>
        <w:widowControl w:val="1"/>
      </w:pPr>
      <w:r>
        <w:rPr>
          <w:lang w:val="en-US"/>
        </w:rPr>
        <w:t xml:space="preserve">6.1</w:t>
      </w:r>
      <w:r>
        <w:rPr>
          <w:lang w:val="en-US"/>
        </w:rPr>
        <w:t xml:space="preserve">  </w:t>
      </w:r>
      <w:r>
        <w:rPr>
          <w:lang w:val="en-US"/>
        </w:rPr>
        <w:t xml:space="preserve">Historical data and evaluation scope</w:t>
      </w:r>
    </w:p>
    <w:p>
      <w:pPr>
        <w:pStyle w:val="Para"/>
        <w:widowControl w:val="1"/>
        <w:jc w:val="left"/>
        <w:rPr>
          <w:sz w:val="20"/>
        </w:rPr>
      </w:pPr>
      <w:r>
        <w:rPr>
          <w:lang w:val="en-US"/>
        </w:rPr>
        <w:t xml:space="preserve">We audit fixed scored test cases from three his­tor­i­cal runs: ASSISTments inter­ac­tion cor­rect­ness (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105107</m:t>
        </m:r>
      </m:oMath>
      <w:r>
        <w:rPr>
          <w:lang w:val="en-US"/>
        </w:rPr>
        <w:t xml:space="preserve">), OULAD student success (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6519</m:t>
        </m:r>
      </m:oMath>
      <w:r>
        <w:rPr>
          <w:lang w:val="en-US"/>
        </w:rPr>
        <w:t xml:space="preserve">) and a syn­thetic binary stress test (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n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1000</m:t>
        </m:r>
      </m:oMath>
      <w:r>
        <w:rPr>
          <w:lang w:val="en-US"/>
        </w:rPr>
        <w:t xml:space="preserve">). ASSISTments uses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y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for a correct response and school-ID parity as a syn­thetic grouping proxy, not a pro­tected attribute. OULAD uses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y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for Pass/Distinction and binary gender for auditing. Appendix 13 gives task and split details. These are outcome-pre­dic­tion testbeds; descend­ing success scores do not pri­or­i­tize the highest-risk students for inter­ven­tion.</w:t>
      </w:r>
    </w:p>
    <w:p>
      <w:pPr>
        <w:pStyle w:val="Para"/>
        <w:widowControl w:val="1"/>
      </w:pPr>
      <w:r>
        <w:rPr>
          <w:lang w:val="en-US"/>
        </w:rPr>
        <w:t xml:space="preserve">The his­tor­i­cal runner used a seeded shuffled 80/20 split and seed 42. We do not claim a temporal early-warning horizon, student-cluster inde­pen­dence for inter­ac­tion rows, or prospec­tive treat­ment effects. The revision replays emitted scores without retrain­ing his­tor­i­cal models. Policy search uses labels from the same ret­ro­spec­tive audit sample, so selected oper­at­ing points are exploratory, not an inde­pen­dently val­i­dated final policy.</w:t>
      </w:r>
    </w:p>
    <w:bookmarkEnd w:id="31"/>
    <w:bookmarkStart w:id="32" w:name="policy-domains"/>
    <w:p>
      <w:pPr>
        <w:pStyle w:val="Head2"/>
        <w:keepNext/>
        <w:keepLines/>
        <w:widowControl w:val="1"/>
      </w:pPr>
      <w:r>
        <w:rPr>
          <w:lang w:val="en-US"/>
        </w:rPr>
        <w:t xml:space="preserve">6.2</w:t>
      </w:r>
      <w:r>
        <w:rPr>
          <w:lang w:val="en-US"/>
        </w:rPr>
        <w:t xml:space="preserve">  </w:t>
      </w:r>
      <w:r>
        <w:rPr>
          <w:lang w:val="en-US"/>
        </w:rPr>
        <w:t xml:space="preserve">Policy domains</w:t>
      </w:r>
    </w:p>
    <w:p>
      <w:pPr>
        <w:pStyle w:val="Para"/>
        <w:widowControl w:val="1"/>
        <w:jc w:val="left"/>
        <w:rPr>
          <w:sz w:val="20"/>
        </w:rPr>
      </w:pPr>
      <w:r>
        <w:t xml:space="preserve">All datasets use the 16 thresh­olds 0.01, 0.05, 0.10, 0.15, 0.20, 0.30, 0.40, 0.50, 0.60, 0.70, 0.80, 0.90, 0.95, 0.99, 0.995 and 0.999 bits.</w:t>
      </w:r>
    </w:p>
    <w:p>
      <w:pPr>
        <w:pStyle w:val="Para"/>
        <w:keepLines/>
        <w:spacing w:before="0" w:after="30"/>
        <w:jc w:val="left"/>
      </w:pPr>
      <w:r>
        <w:t xml:space="preserve">Capacity grids are ASSISTments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{</m:t>
        </m:r>
        <m:r>
          <w:rPr>
            <w:rFonts w:ascii="DejaVu Math TeX Gyre" w:hAnsi="DejaVu Math TeX Gyre"/>
            <w:sz w:val="20"/>
            <w:szCs w:val="20"/>
            <w:lang w:val="en-US"/>
          </w:rPr>
          <m:t>100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250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500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1000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2000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}</m:t>
        </m:r>
      </m:oMath>
      <w:r>
        <w:t xml:space="preserve">,</w:t>
      </w:r>
    </w:p>
    <w:p>
      <w:pPr>
        <w:pStyle w:val="Para"/>
        <w:keepLines/>
        <w:spacing w:before="0" w:after="30"/>
        <w:jc w:val="left"/>
      </w:pPr>
      <w:r>
        <w:t xml:space="preserve">OULAD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{</m:t>
        </m:r>
        <m:r>
          <w:rPr>
            <w:rFonts w:ascii="DejaVu Math TeX Gyre" w:hAnsi="DejaVu Math TeX Gyre"/>
            <w:sz w:val="20"/>
            <w:szCs w:val="20"/>
            <w:lang w:val="en-US"/>
          </w:rPr>
          <m:t>50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200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500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1000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}</m:t>
        </m:r>
      </m:oMath>
      <w:r>
        <w:t xml:space="preserve"> and</w:t>
      </w:r>
    </w:p>
    <w:p>
      <w:pPr>
        <w:pStyle w:val="Para"/>
        <w:keepLines/>
        <w:spacing w:before="0" w:after="30"/>
        <w:jc w:val="left"/>
      </w:pPr>
      <w:r>
        <w:t xml:space="preserve">syn­thetic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{</m:t>
        </m:r>
        <m:r>
          <w:rPr>
            <w:rFonts w:ascii="DejaVu Math TeX Gyre" w:hAnsi="DejaVu Math TeX Gyre"/>
            <w:sz w:val="20"/>
            <w:szCs w:val="20"/>
            <w:lang w:val="en-US"/>
          </w:rPr>
          <m:t>20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50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200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300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}</m:t>
        </m:r>
      </m:oMath>
      <w:r>
        <w:t xml:space="preserve">.</w:t>
      </w:r>
    </w:p>
    <w:p>
      <w:pPr>
        <w:pStyle w:val="Para"/>
        <w:jc w:val="left"/>
      </w:pPr>
      <w:r>
        <w:rPr>
          <w:lang w:val="en-US"/>
        </w:rPr>
        <w:t xml:space="preserve">Each full grid has 80 can­di­dates. Fixed-budget recovery uses only the 16 thresh­olds at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1000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500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,</m:t>
        </m:r>
        <m:r>
          <w:rPr>
            <w:rFonts w:ascii="DejaVu Math TeX Gyre" w:hAnsi="DejaVu Math TeX Gyre"/>
            <w:sz w:val="20"/>
            <w:szCs w:val="20"/>
            <w:lang w:val="en-US"/>
          </w:rPr>
          <m:t>100</m:t>
        </m:r>
      </m:oMath>
      <w:r>
        <w:rPr>
          <w:lang w:val="en-US"/>
        </w:rPr>
        <w:t xml:space="preserve">, respec­tively. Full-grid profile com­par­isons are reported sep­a­rately. We check gap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≤</m:t>
        </m:r>
        <m:r>
          <w:rPr>
            <w:rFonts w:ascii="DejaVu Math TeX Gyre" w:hAnsi="DejaVu Math TeX Gyre"/>
            <w:sz w:val="20"/>
            <w:szCs w:val="20"/>
            <w:lang w:val="en-US"/>
          </w:rPr>
          <m:t>.05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 auto­ma­tion coverage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≥</m:t>
        </m:r>
        <m:r>
          <w:rPr>
            <w:rFonts w:ascii="DejaVu Math TeX Gyre" w:hAnsi="DejaVu Math TeX Gyre"/>
            <w:sz w:val="20"/>
            <w:szCs w:val="20"/>
            <w:lang w:val="en-US"/>
          </w:rPr>
          <m:t>.50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 apply the algo­rithm in Section 4.</w:t>
      </w:r>
    </w:p>
    <w:bookmarkEnd w:id="32"/>
    <w:bookmarkStart w:id="33" w:name="sec:human-study"/>
    <w:p>
      <w:pPr>
        <w:pStyle w:val="Head2"/>
        <w:keepNext/>
        <w:keepLines/>
        <w:widowControl w:val="1"/>
      </w:pPr>
      <w:r>
        <w:rPr>
          <w:lang w:val="en-US"/>
        </w:rPr>
        <w:t xml:space="preserve">6.3</w:t>
      </w:r>
      <w:r>
        <w:rPr>
          <w:lang w:val="en-US"/>
        </w:rPr>
        <w:t xml:space="preserve">  </w:t>
      </w:r>
      <w:r>
        <w:rPr>
          <w:lang w:val="en-US"/>
        </w:rPr>
        <w:t xml:space="preserve">Exploratory contestation study</w:t>
      </w:r>
    </w:p>
    <w:p>
      <w:pPr>
        <w:pStyle w:val="Para"/>
        <w:widowControl w:val="1"/>
      </w:pPr>
      <w:r>
        <w:rPr>
          <w:lang w:val="en-US"/>
        </w:rPr>
        <w:t xml:space="preserve">The original study has 16 vol­un­teers, eight stan­dard­ized appeal sce­nar­ios and 64 case responses per con­di­tion. Profiles include engineering/data science, ana­lyt­ics and audit/compliance. Each par­tic­i­pant responds to four cases under A (logs/cards) and four under B (struc­tured per-case evidence, policy prove­nance and replay nar­ra­tives). The author con­firmed that G1 receives odd cases in A and even cases in B, with G2 reversed. Each case there­fore has eight responses per con­di­tion. No par­tic­i­pant sees the same case in both con­di­tions. Detailed recruit­ment pro­ce­dures, com­pen­sa­tion and training records were not avail­able in the inspected release.</w:t>
      </w:r>
    </w:p>
    <w:p>
      <w:pPr>
        <w:pStyle w:val="Para"/>
        <w:widowControl w:val="1"/>
      </w:pPr>
      <w:r>
        <w:rPr>
          <w:lang w:val="en-US"/>
        </w:rPr>
        <w:t xml:space="preserve">For each case, par­tic­i­pants choose a diag­nos­tic label and reme­di­a­tion action, cite evidence, and rate con­fi­dence from 1 to 5. Evidence length is counted in Unicode char­ac­ters, not words or a quality rubric. Time was self-reported for the ques­tion­naire; we do not estimate per-case staff savings. The case mate­ri­als include hypo­thet­i­cal excep­tions and feature changes beyond the fixed-score replay engine. Consequently this study eval­u­ates avail­abil­ity of struc­tured evidence as a bundle, not exe­cu­tion of every scenario by the software or the isolated causal effect of replay.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Consent and ethics report­ing.</w:t>
      </w:r>
      <w:r>
        <w:rPr>
          <w:lang w:val="en-US"/>
        </w:rPr>
        <w:t xml:space="preserve"> </w:t>
      </w:r>
      <w:r>
        <w:rPr>
          <w:lang w:val="en-US"/>
        </w:rPr>
        <w:t xml:space="preserve">The author con­firmed vol­un­tary par­tic­i­pa­tion and autho­riza­tion. The forms contain a consent item. No formal ethics-com­mit­tee approval or exemp­tion was obtained; we report this explic­itly rather than infer an insti­tu­tional autho­riza­tion. No par­tic­i­pant-level responses or free-text evidence are redis­tributed in the revised public analysis outputs. The setting and doc­u­men­ta­tion limit the strength and gen­er­al­iz­abil­ity of the study.</w:t>
      </w:r>
    </w:p>
    <w:p>
      <w:pPr>
        <w:pStyle w:val="Para"/>
        <w:widowControl w:val="1"/>
      </w:pPr>
      <w:r>
        <w:rPr>
          <w:b/>
          <w:bCs/>
          <w:lang w:val="en-US"/>
        </w:rPr>
        <w:t xml:space="preserve">Retrospective analysis.</w:t>
      </w:r>
      <w:r>
        <w:rPr>
          <w:lang w:val="en-US"/>
        </w:rPr>
        <w:t xml:space="preserve"> </w:t>
      </w:r>
      <w:r>
        <w:rPr>
          <w:lang w:val="en-US"/>
        </w:rPr>
        <w:t xml:space="preserve">We recom­pute par­tic­i­pant-level con­di­tion averages from the original CSVs and case scoring keys. The revision uses two-sided signed-rank tests by enu­mer­at­ing all sign assign­ments to nonzero paired midranks; zero dif­fer­ences are excluded and equal absolute dif­fer­ences receive average ranks. No normal approx­i­ma­tion or con­ti­nu­ity cor­rec­tion is used. Holm adjust­ment covers diag­no­sis, reme­di­a­tion, con­fi­dence and evidence length. Paired mean dif­fer­ences have per­centile 95% inter­vals from 10000 par­tic­i­pant-boot­strap repli­cates (seed 42). This analysis was spec­i­fied after inspect­ing his­tor­i­cal results and is not pre­reg­is­tered. Diagnosis and reme­di­a­tion cor­rect­ness coincide on all 128 case responses and are not inde­pen­dent repli­ca­tions. Software versions and exact counts are recorded with the released revision scripts.</w:t>
      </w:r>
    </w:p>
    <w:bookmarkEnd w:id="33"/>
    <w:bookmarkEnd w:id="34"/>
    <w:bookmarkStart w:id="54" w:name="sec:results"/>
    <w:p>
      <w:pPr>
        <w:pStyle w:val="Head1"/>
        <w:keepNext/>
        <w:keepLines/>
        <w:widowControl w:val="1"/>
      </w:pPr>
      <w:r>
        <w:rPr>
          <w:lang w:val="en-US"/>
        </w:rPr>
        <w:t xml:space="preserve">7</w:t>
      </w:r>
      <w:r>
        <w:rPr>
          <w:lang w:val="en-US"/>
        </w:rPr>
        <w:t xml:space="preserve">  </w:t>
      </w:r>
      <w:r>
        <w:rPr>
          <w:lang w:val="en-US"/>
        </w:rPr>
        <w:t xml:space="preserve">Results</w:t>
      </w:r>
    </w:p>
    <w:p>
      <w:pPr>
        <w:pStyle w:val="Para"/>
        <w:widowControl w:val="1"/>
      </w:pPr>
      <w:r>
        <w:rPr>
          <w:lang w:val="en-US"/>
        </w:rPr>
        <w:t xml:space="preserve">We dis­tin­guish his­tor­i­cal emitted deci­sions from the revised imple­men­ta­tion and reanal­y­sis. All numer­i­cal tables below are gen­er­ated from the pre­served packets or study responses; no his­tor­i­cal pre­dic­tor was retrained.</w:t>
      </w:r>
    </w:p>
    <w:bookmarkStart w:id="41" w:name="sec:human-results"/>
    <w:p>
      <w:pPr>
        <w:pStyle w:val="Head2"/>
        <w:keepNext/>
        <w:keepLines/>
        <w:widowControl w:val="1"/>
      </w:pPr>
      <w:r>
        <w:rPr>
          <w:lang w:val="en-US"/>
        </w:rPr>
        <w:t xml:space="preserve">7.1</w:t>
      </w:r>
      <w:r>
        <w:rPr>
          <w:lang w:val="en-US"/>
        </w:rPr>
        <w:t xml:space="preserve">  </w:t>
      </w:r>
      <w:r>
        <w:rPr>
          <w:lang w:val="en-US"/>
        </w:rPr>
        <w:t xml:space="preserve">Structured evidence in the exploratory study</w:t>
      </w:r>
    </w:p>
    <w:p>
      <w:pPr>
        <w:pStyle w:val="Para"/>
        <w:widowControl w:val="1"/>
      </w:pPr>
      <w:r>
        <w:rPr>
          <w:lang w:val="en-US"/>
        </w:rPr>
        <w:t xml:space="preserve">Table 5 reports recom­puted averages, paired effects and revised sta­tis­ti­cal tests. Diagnostic and reme­di­a­tion accuracy increase from 0.5625 to 0.921875, a dif­fer­ence of 0.359375. Confidence increases from 3.078125 to 4.234375. These aggre­gates match the his­tor­i­cal data; revised p-values differ because a single bilat­eral pro­ce­dure and mul­ti­plic­ity cor­rec­tion replace the pre­vi­ously under­spec­i­fied tests. Longer evidence state­ments are descrip­tive and do not estab­lish better rea­son­ing. The exper­i­ment supports a benefit of the complete evidence bundle on these stan­dard­ized tasks, with the lim­i­ta­tions in Section 6.3.</w:t>
      </w:r>
    </w:p>
    <w:bookmarkStart w:id="35" w:name="tab:human-study-summary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5: Exploratory N=16 study; 64 case responses per condition. Participant means and paired differences with 95% participant-bootstrap intervals.</w:t>
      </w:r>
      <w:r>
        <w:rPr>
          <w:lang w:val="en-US"/>
        </w:rPr>
        <w:t xml:space="preserve"> </w:t>
      </w:r>
      <m:oMath>
        <m:sSub>
          <m:e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DejaVu Math TeX Gyre" w:hAnsi="DejaVu Math TeX Gyre"/>
                <w:sz w:val="20"/>
                <w:szCs w:val="20"/>
                <w:lang w:val="en-US"/>
              </w:rPr>
              <m:t>H</m:t>
            </m:r>
          </m:sub>
        </m:sSub>
      </m:oMath>
      <w:r>
        <w:rPr>
          <w:lang w:val="en-US"/>
        </w:rPr>
        <w:t xml:space="preserve"> </w:t>
      </w:r>
      <w:r>
        <w:rPr>
          <w:lang w:val="en-US"/>
        </w:rPr>
        <w:t xml:space="preserve">is the two-sided signed-rank sign-enumeration p-value adjusted by Holm over four endpoints; diagnosis/remediation correctness coincides in all 128 responses.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5: Exploratory N=16 study; 64 case responses per condition. Participant means and paired differences with 95% participant-bootstrap intervals. p_H is the two-sided signed-rank sign-enumeration p-value adjusted by Holm over four endpoints; diagnosis/remediation correctness coincides in all 128 responses."/>
      </w:tblPr>
      <w:tblGrid>
        <w:gridCol w:w="2318"/>
        <w:gridCol w:w="1008"/>
        <w:gridCol w:w="1008"/>
        <w:gridCol w:w="4233"/>
        <w:gridCol w:w="1512"/>
      </w:tblGrid>
      <w:tr>
        <w:trPr>
          <w:tblHeader w:val="on"/>
          <w:cantSplit/>
          <w:tblHeader/>
        </w:trPr>
        <w:tc>
          <w:tcPr>
            <w:tcW w:type="dxa" w:w="231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Outcome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B</w:t>
            </w:r>
          </w:p>
        </w:tc>
        <w:tc>
          <w:tcPr>
            <w:tcW w:type="dxa" w:w="423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Difference [95% CI]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sSub>
                <m:e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DejaVu Math TeX Gyre" w:hAnsi="DejaVu Math TeX Gyre"/>
                      <w:sz w:val="20"/>
                      <w:szCs w:val="20"/>
                      <w:lang w:val="en-US"/>
                    </w:rPr>
                    <m:t>H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3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Diagnosis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0.562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0.922</w:t>
            </w:r>
          </w:p>
        </w:tc>
        <w:tc>
          <w:tcPr>
            <w:tcW w:type="dxa" w:w="423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0.359 [0.203, 0.516]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0.00293</w:t>
            </w:r>
          </w:p>
        </w:tc>
      </w:tr>
      <w:tr>
        <w:trPr>
          <w:cantSplit/>
        </w:trPr>
        <w:tc>
          <w:tcPr>
            <w:tcW w:type="dxa" w:w="23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Remediation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0.562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0.922</w:t>
            </w:r>
          </w:p>
        </w:tc>
        <w:tc>
          <w:tcPr>
            <w:tcW w:type="dxa" w:w="423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0.359 [0.203, 0.516]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0.00293</w:t>
            </w:r>
          </w:p>
        </w:tc>
      </w:tr>
      <w:tr>
        <w:trPr>
          <w:cantSplit/>
        </w:trPr>
        <w:tc>
          <w:tcPr>
            <w:tcW w:type="dxa" w:w="231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Confidence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3.078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4.234</w:t>
            </w:r>
          </w:p>
        </w:tc>
        <w:tc>
          <w:tcPr>
            <w:tcW w:type="dxa" w:w="423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1.156 [0.922, 1.375]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0.00012</w:t>
            </w:r>
          </w:p>
        </w:tc>
      </w:tr>
      <w:tr>
        <w:trPr>
          <w:cantSplit/>
        </w:trPr>
        <w:tc>
          <w:tcPr>
            <w:tcW w:type="dxa" w:w="231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Evidence (characters)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69.812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91.656</w:t>
            </w:r>
          </w:p>
        </w:tc>
        <w:tc>
          <w:tcPr>
            <w:tcW w:type="dxa" w:w="423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21.844 [20.047, 23.734]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0.00012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35"/>
    <w:bookmarkStart w:id="36" w:name="tab:human-study-keycases"/>
    <w:p>
      <w:pPr>
        <w:pStyle w:val="TableCaption"/>
        <w:keepNext/>
        <w:keepLines/>
        <w:pageBreakBefore/>
        <w:widowControl w:val="1"/>
        <w:spacing w:before="120" w:after="60"/>
      </w:pPr>
      <w:r>
        <w:rPr>
          <w:lang w:val="en-US"/>
        </w:rPr>
        <w:t xml:space="preserve">Table 6: Diagnostic counts by case and condition. Every cell has eight responses; case materials are standardized research scenarios.</w:t>
      </w:r>
    </w:p>
    <w:tbl>
      <w:tblPr>
        <w:tblStyle w:val="TableNormal"/>
        <w:tblW w:type="dxa" w:w="480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6: Diagnostic counts by case and condition. Every cell has eight responses; case materials are standardized research scenarios."/>
      </w:tblPr>
      <w:tblGrid>
        <w:gridCol w:w="1600"/>
        <w:gridCol w:w="1600"/>
        <w:gridCol w:w="1600"/>
      </w:tblGrid>
      <w:tr>
        <w:trPr>
          <w:tblHeader w:val="on"/>
          <w:cantSplit/>
          <w:tblHeader/>
        </w:trPr>
        <w:tc>
          <w:tcPr>
            <w:tcW w:type="dxa" w:w="160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Case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C1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C2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4/8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C3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4/8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C4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C5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C6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3/8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C7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2/8</w:t>
            </w:r>
          </w:p>
        </w:tc>
        <w:tc>
          <w:tcPr>
            <w:tcW w:type="dxa" w:w="160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8/8</w:t>
            </w:r>
          </w:p>
        </w:tc>
      </w:tr>
    </w:tbl>
    <w:bookmarkEnd w:id="36"/>
    <w:bookmarkStart w:id="40" w:name="fig:human-by-case"/>
    <w:p xmlns:a="http://schemas.openxmlformats.org/drawingml/2006/main" xmlns:pic="http://schemas.openxmlformats.org/drawingml/2006/picture">
      <w:pPr>
        <w:pStyle w:val="Image"/>
        <w:keepNext/>
        <w:widowControl w:val="1"/>
        <w:jc w:val="center"/>
      </w:pPr>
      <w:r>
        <w:rPr>
          <w:lang w:val="en-US"/>
        </w:rPr>
        <w:drawing>
          <wp:inline>
            <wp:extent cx="3048000" cy="1524000"/>
            <wp:effectExtent b="0" l="0" r="0" t="0"/>
            <wp:docPr descr="Diagnostic accuracy for eight appeal cases under baseline A and structured-evidence B; exact correct/total counts are provided in Table 6." title="" id="38" name="Picture"/>
            <a:graphic>
              <a:graphicData uri="http://schemas.openxmlformats.org/drawingml/2006/picture">
                <pic:pic>
                  <pic:nvPicPr>
                    <pic:cNvPr descr="figures/human_label_accuracy_by_ca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Article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widowControl w:val="1"/>
      </w:pPr>
      <w:r>
        <w:rPr>
          <w:lang w:val="en-US"/>
        </w:rPr>
        <w:t xml:space="preserve">Figure 1: Diagnostic accuracy by case and condition. Labels give exact correct/total counts; all bars have eight responses.</w:t>
      </w:r>
    </w:p>
    <w:p>
      <w:pPr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bookmarkEnd w:id="40"/>
    <w:bookmarkEnd w:id="41"/>
    <w:bookmarkStart w:id="44" w:name="historical-states-and-capacity"/>
    <w:p>
      <w:pPr>
        <w:pStyle w:val="Head2"/>
        <w:keepNext/>
        <w:keepLines/>
        <w:widowControl w:val="1"/>
      </w:pPr>
      <w:r>
        <w:rPr>
          <w:lang w:val="en-US"/>
        </w:rPr>
        <w:t xml:space="preserve">7.2</w:t>
      </w:r>
      <w:r>
        <w:rPr>
          <w:lang w:val="en-US"/>
        </w:rPr>
        <w:t xml:space="preserve">  </w:t>
      </w:r>
      <w:r>
        <w:rPr>
          <w:lang w:val="en-US"/>
        </w:rPr>
        <w:t xml:space="preserve">Historical states and capacity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Table 7 recom­putes the his­tor­i­cal recipe outcomes and Table 8 gives exact counts. In the syn­thetic example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100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but only four cases are eligible and selected; coverage 0.004 is there­fore con­sis­tent with the capacity ceiling. OULAD sim­i­larly selects 69 of a possible 500. Violations were recorded by the his­tor­i­cal runner; those records alone do not prove oper­a­tional esca­la­tion.</w:t>
      </w:r>
    </w:p>
    <w:bookmarkStart w:id="42" w:name="tab:run-initial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7: Historical recipe outcomes, recomputed from emitted states. Entropy thresholds are in bits; VIOL indicates a retrospective ECL violation, not a delivered human review.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7: Historical recipe outcomes, recomputed from emitted states. Entropy thresholds are in bits; VIOL indicates a retrospective ECL violation, not a delivered human review."/>
      </w:tblPr>
      <w:tblGrid>
        <w:gridCol w:w="1713"/>
        <w:gridCol w:w="706"/>
        <w:gridCol w:w="806"/>
        <w:gridCol w:w="1008"/>
        <w:gridCol w:w="1512"/>
        <w:gridCol w:w="1512"/>
        <w:gridCol w:w="1311"/>
        <w:gridCol w:w="1512"/>
      </w:tblGrid>
      <w:tr>
        <w:trPr>
          <w:tblHeader w:val="on"/>
          <w:cantSplit/>
          <w:tblHeader/>
        </w:trPr>
        <w:tc>
          <w:tcPr>
            <w:tcW w:type="dxa" w:w="171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  <w:tc>
          <w:tcPr>
            <w:tcW w:type="dxa" w:w="80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γ</m:t>
              </m:r>
            </m:oMath>
          </w:p>
        </w:tc>
        <w:tc>
          <w:tcPr>
            <w:tcW w:type="dxa" w:w="100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Utility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Coverage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Abstain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Gap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ECL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0.60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0.758560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0.241440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0.00497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0.60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0.174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0.010584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0.989416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0.00192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VIOL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0.65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0.996000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0.00895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VIOL</w:t>
            </w:r>
          </w:p>
        </w:tc>
      </w:tr>
    </w:tbl>
    <w:bookmarkEnd w:id="42"/>
    <w:bookmarkStart w:id="43" w:name="tab:state-counts"/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8: Exact initial state counts.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is a capacity ceiling, not the realized number selected.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8: Exact initial state counts. K is a capacity ceiling, not the realized number selected."/>
      </w:tblPr>
      <w:tblGrid>
        <w:gridCol w:w="2419"/>
        <w:gridCol w:w="1411"/>
        <w:gridCol w:w="1512"/>
        <w:gridCol w:w="1411"/>
        <w:gridCol w:w="1613"/>
        <w:gridCol w:w="1713"/>
      </w:tblGrid>
      <w:tr>
        <w:trPr>
          <w:tblHeader w:val="on"/>
          <w:cantSplit/>
          <w:tblHeader/>
        </w:trPr>
        <w:tc>
          <w:tcPr>
            <w:tcW w:type="dxa" w:w="2419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n</m:t>
              </m:r>
            </m:oMath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Eligible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Select</w:t>
            </w:r>
          </w:p>
        </w:tc>
        <w:tc>
          <w:tcPr>
            <w:tcW w:type="dxa" w:w="161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Reject</w:t>
            </w:r>
          </w:p>
        </w:tc>
        <w:tc>
          <w:tcPr>
            <w:tcW w:type="dxa" w:w="171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Abstain</w:t>
            </w:r>
          </w:p>
        </w:tc>
      </w:tr>
      <w:tr>
        <w:trPr>
          <w:cantSplit/>
        </w:trPr>
        <w:tc>
          <w:tcPr>
            <w:tcW w:type="dxa" w:w="2419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105107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79730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1000</w:t>
            </w:r>
          </w:p>
        </w:tc>
        <w:tc>
          <w:tcPr>
            <w:tcW w:type="dxa" w:w="16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78730</w:t>
            </w:r>
          </w:p>
        </w:tc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25377</w:t>
            </w:r>
          </w:p>
        </w:tc>
      </w:tr>
      <w:tr>
        <w:trPr>
          <w:cantSplit/>
        </w:trPr>
        <w:tc>
          <w:tcPr>
            <w:tcW w:type="dxa" w:w="2419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6519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69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69</w:t>
            </w:r>
          </w:p>
        </w:tc>
        <w:tc>
          <w:tcPr>
            <w:tcW w:type="dxa" w:w="16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</w:t>
            </w:r>
          </w:p>
        </w:tc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6450</w:t>
            </w:r>
          </w:p>
        </w:tc>
      </w:tr>
      <w:tr>
        <w:trPr>
          <w:cantSplit/>
        </w:trPr>
        <w:tc>
          <w:tcPr>
            <w:tcW w:type="dxa" w:w="2419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type="dxa" w:w="161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</w:t>
            </w:r>
          </w:p>
        </w:tc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996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43"/>
    <w:bookmarkEnd w:id="44"/>
    <w:bookmarkStart w:id="48" w:name="Xc315241a9744313b41afeb9adbaed9e5abd16b3"/>
    <w:p>
      <w:pPr>
        <w:pStyle w:val="Head2"/>
        <w:keepNext/>
        <w:keepLines/>
        <w:widowControl w:val="1"/>
      </w:pPr>
      <w:r>
        <w:rPr>
          <w:lang w:val="en-US"/>
        </w:rPr>
        <w:t xml:space="preserve">7.3</w:t>
      </w:r>
      <w:r>
        <w:rPr>
          <w:lang w:val="en-US"/>
        </w:rPr>
        <w:t xml:space="preserve">  </w:t>
      </w:r>
      <w:r>
        <w:rPr>
          <w:lang w:val="en-US"/>
        </w:rPr>
        <w:t xml:space="preserve">Fixed-budget recovery and variable-budget profiles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Table 9 sep­a­rates full-grid and fixed-budget counts. Table 10 reports achieved metrics of the revised fixed-budget MAS choices. Raising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recovers sample fea­si­bil­ity without retrain­ing, demon­strat­ing a policy-level route to resolve the par­tic­u­lar vio­la­tion. This does not exclude simul­ta­ne­ous model or mea­sure­ment problems. Table 11 reports separate variable-budget com­par­isons with the complete profile def­i­ni­tions in Section 4. Full pre­ci­sion, group counts, exact grids and can­di­date IDs are in the struc­tured revision report.</w:t>
      </w:r>
    </w:p>
    <w:bookmarkStart w:id="45" w:name="tab:run-sweep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9: Candidate counts under gap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≤</m:t>
        </m:r>
        <m:r>
          <w:rPr>
            <w:rFonts w:ascii="DejaVu Math TeX Gyre" w:hAnsi="DejaVu Math TeX Gyre"/>
            <w:sz w:val="20"/>
            <w:szCs w:val="20"/>
            <w:lang w:val="en-US"/>
          </w:rPr>
          <m:t>0.05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 coverage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≥</m:t>
        </m:r>
        <m:r>
          <w:rPr>
            <w:rFonts w:ascii="DejaVu Math TeX Gyre" w:hAnsi="DejaVu Math TeX Gyre"/>
            <w:sz w:val="20"/>
            <w:szCs w:val="20"/>
            <w:lang w:val="en-US"/>
          </w:rPr>
          <m:t>0.50</m:t>
        </m:r>
      </m:oMath>
      <w:r>
        <w:rPr>
          <w:lang w:val="en-US"/>
        </w:rPr>
        <w:t xml:space="preserve">. Full grids vary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</m:oMath>
      <w:r>
        <w:rPr>
          <w:lang w:val="en-US"/>
        </w:rPr>
        <w:t xml:space="preserve">; fixed-budget analyses use only the 16 thresholds at the recipe budget.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9: Candidate counts under gap \leq0.05 and coverage \geq0.50. Full grids vary K and \gamma; fixed-budget analyses use only the 16 thresholds at the recipe budget."/>
      </w:tblPr>
      <w:tblGrid>
        <w:gridCol w:w="2823"/>
        <w:gridCol w:w="1451"/>
        <w:gridCol w:w="1451"/>
        <w:gridCol w:w="1451"/>
        <w:gridCol w:w="1451"/>
        <w:gridCol w:w="1451"/>
      </w:tblGrid>
      <w:tr>
        <w:trPr>
          <w:tblHeader w:val="on"/>
          <w:cantSplit/>
          <w:tblHeader/>
        </w:trPr>
        <w:tc>
          <w:tcPr>
            <w:tcW w:type="dxa" w:w="282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Full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Feas.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Fixed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Feas.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Pareto</w:t>
            </w:r>
          </w:p>
        </w:tc>
      </w:tr>
      <w:tr>
        <w:trPr>
          <w:cantSplit/>
        </w:trPr>
        <w:tc>
          <w:tcPr>
            <w:tcW w:type="dxa" w:w="282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80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55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16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11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2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80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15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16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2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80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12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16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type="dxa" w:w="145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</w:t>
            </w:r>
          </w:p>
        </w:tc>
      </w:tr>
    </w:tbl>
    <w:bookmarkEnd w:id="45"/>
    <w:bookmarkStart w:id="46" w:name="tab:recovered"/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10: Revised MAS selections from the fixed-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feasible Pareto set. All tie tolerances are zero; persistent candidate ID is the final tie-breaker.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0: Revised MAS selections from the fixed-K feasible Pareto set. All tie tolerances are zero; persistent candidate ID is the final tie-breaker."/>
      </w:tblPr>
      <w:tblGrid>
        <w:gridCol w:w="1713"/>
        <w:gridCol w:w="706"/>
        <w:gridCol w:w="806"/>
        <w:gridCol w:w="1008"/>
        <w:gridCol w:w="1512"/>
        <w:gridCol w:w="1512"/>
        <w:gridCol w:w="1311"/>
        <w:gridCol w:w="1512"/>
      </w:tblGrid>
      <w:tr>
        <w:trPr>
          <w:tblHeader w:val="on"/>
          <w:cantSplit/>
          <w:tblHeader/>
        </w:trPr>
        <w:tc>
          <w:tcPr>
            <w:tcW w:type="dxa" w:w="1713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  <w:tc>
          <w:tcPr>
            <w:tcW w:type="dxa" w:w="80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γ</m:t>
              </m:r>
            </m:oMath>
          </w:p>
        </w:tc>
        <w:tc>
          <w:tcPr>
            <w:tcW w:type="dxa" w:w="100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Selected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Utility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Gap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Coverage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Abstain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0.00497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0.999448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0.000552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0.732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0.01345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0.906427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0.093573</w:t>
            </w:r>
          </w:p>
        </w:tc>
      </w:tr>
      <w:tr>
        <w:trPr>
          <w:cantSplit/>
        </w:trPr>
        <w:tc>
          <w:tcPr>
            <w:tcW w:type="dxa" w:w="1713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70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0.01697</w:t>
            </w:r>
          </w:p>
        </w:tc>
        <w:tc>
          <w:tcPr>
            <w:tcW w:type="dxa" w:w="13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0.933000</w:t>
            </w:r>
          </w:p>
        </w:tc>
        <w:tc>
          <w:tcPr>
            <w:tcW w:type="dxa" w:w="151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0.067000</w:t>
            </w:r>
          </w:p>
        </w:tc>
      </w:tr>
    </w:tbl>
    <w:bookmarkEnd w:id="46"/>
    <w:bookmarkStart w:id="47" w:name="tab:policy-profiles"/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11: Variable-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profiles over the full 80-point grids; these are distinct from fixed-budget recovery. Fairness-first orders gap, utility, abstention; utility-first orders utility, gap, abstention.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1: Variable-K profiles over the full 80-point grids; these are distinct from fixed-budget recovery. Fairness-first orders gap, utility, abstention; utility-first orders utility, gap, abstention."/>
      </w:tblPr>
      <w:tblGrid>
        <w:gridCol w:w="1815"/>
        <w:gridCol w:w="1815"/>
        <w:gridCol w:w="806"/>
        <w:gridCol w:w="1008"/>
        <w:gridCol w:w="1210"/>
        <w:gridCol w:w="1411"/>
        <w:gridCol w:w="2016"/>
      </w:tblGrid>
      <w:tr>
        <w:trPr>
          <w:tblHeader w:val="on"/>
          <w:cantSplit/>
          <w:tblHeader/>
        </w:trPr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Profile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K</m:t>
              </m:r>
            </m:oMath>
          </w:p>
        </w:tc>
        <w:tc>
          <w:tcPr>
            <w:tcW w:type="dxa" w:w="1008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γ</m:t>
              </m:r>
            </m:oMath>
          </w:p>
        </w:tc>
        <w:tc>
          <w:tcPr>
            <w:tcW w:type="dxa" w:w="1210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Utility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Gap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Coverage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Fairness-first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0.00040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0.999448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Utility-first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250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0.992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0.00206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0.999448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Fairness-first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50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0.800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0.00685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0.906427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Utility-first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100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0.830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0.00754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0.906427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Fairness-first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1.000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0.00020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0.933000</w:t>
            </w:r>
          </w:p>
        </w:tc>
      </w:tr>
      <w:tr>
        <w:trPr>
          <w:cantSplit/>
        </w:trPr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Utility-first</w:t>
            </w:r>
          </w:p>
        </w:tc>
        <w:tc>
          <w:tcPr>
            <w:tcW w:type="dxa" w:w="80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20</w:t>
            </w:r>
          </w:p>
        </w:tc>
        <w:tc>
          <w:tcPr>
            <w:tcW w:type="dxa" w:w="1008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0.999</w:t>
            </w:r>
          </w:p>
        </w:tc>
        <w:tc>
          <w:tcPr>
            <w:tcW w:type="dxa" w:w="1210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1.000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0.00020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0.933000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47"/>
    <w:bookmarkEnd w:id="48"/>
    <w:bookmarkStart w:id="51" w:name="taxonomy-and-uncertainty"/>
    <w:p>
      <w:pPr>
        <w:pStyle w:val="Head2"/>
        <w:keepNext/>
        <w:keepLines/>
        <w:widowControl w:val="1"/>
      </w:pPr>
      <w:r>
        <w:rPr>
          <w:lang w:val="en-US"/>
        </w:rPr>
        <w:t xml:space="preserve">7.4</w:t>
      </w:r>
      <w:r>
        <w:rPr>
          <w:lang w:val="en-US"/>
        </w:rPr>
        <w:t xml:space="preserve">  </w:t>
      </w:r>
      <w:r>
        <w:rPr>
          <w:lang w:val="en-US"/>
        </w:rPr>
        <w:t xml:space="preserve">Taxonomy and uncertainty</w:t>
      </w:r>
    </w:p>
    <w:p>
      <w:pPr>
        <w:pStyle w:val="Para"/>
        <w:widowControl w:val="1"/>
        <w:rPr>
          <w:sz w:val="20"/>
        </w:rPr>
      </w:pPr>
      <w:r>
        <w:rPr>
          <w:lang w:val="en-US"/>
        </w:rPr>
        <w:t xml:space="preserve">Table 12 fixes scores,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while changing absten­tion seman­tics. Utility stays fixed in this example, but auto­ma­tion coverage changes because non-selec­tion can be an auto­mated rejec­tion or a deferral. Treating this as a policy cor­rec­tion requires insti­tu­tional jus­ti­fi­ca­tion; the numbers alone cannot estab­lish which respon­si­bil­ity assign­ment is appro­pri­ate.</w:t>
      </w:r>
    </w:p>
    <w:bookmarkStart w:id="49" w:name="tab:policy-replay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  <w:rPr>
          <w:sz w:val="20"/>
        </w:rPr>
      </w:pPr>
      <w:r>
        <w:rPr>
          <w:lang w:val="en-US"/>
        </w:rPr>
        <w:t xml:space="preserve">Table 12: ASSISTments taxonomy replay with fixed scores,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K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1000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m:oMath>
        <m:r>
          <w:rPr>
            <w:rFonts w:ascii="DejaVu Math TeX Gyre" w:hAnsi="DejaVu Math TeX Gyre"/>
            <w:sz w:val="20"/>
            <w:szCs w:val="20"/>
            <w:lang w:val="en-US"/>
          </w:rPr>
          <m:t>γ</m:t>
        </m:r>
        <m:r>
          <m:rPr>
            <m:sty m:val="p"/>
          </m:rPr>
          <w:rPr>
            <w:rFonts w:ascii="DejaVu Math TeX Gyre" w:hAnsi="DejaVu Math TeX Gyre"/>
            <w:sz w:val="20"/>
            <w:szCs w:val="20"/>
            <w:lang w:val="en-US"/>
          </w:rPr>
          <m:t>=</m:t>
        </m:r>
        <m:r>
          <w:rPr>
            <w:rFonts w:ascii="DejaVu Math TeX Gyre" w:hAnsi="DejaVu Math TeX Gyre"/>
            <w:sz w:val="20"/>
            <w:szCs w:val="20"/>
            <w:lang w:val="en-US"/>
          </w:rPr>
          <m:t>0.60</m:t>
        </m:r>
      </m:oMath>
      <w:r>
        <w:rPr>
          <w:lang w:val="en-US"/>
        </w:rPr>
        <w:t xml:space="preserve"> </w:t>
      </w:r>
      <w:r>
        <w:rPr>
          <w:lang w:val="en-US"/>
        </w:rPr>
        <w:t xml:space="preserve">bits. Changes in automation coverage represent changes in decision responsibility, not demonstrated improvement in student outcomes.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2: ASSISTments taxonomy replay with fixed scores, K=1000 and \gamma=0.60 bits. Changes in automation coverage represent changes in decision responsibility, not demonstrated improvement in student outcomes."/>
      </w:tblPr>
      <w:tblGrid>
        <w:gridCol w:w="3226"/>
        <w:gridCol w:w="1411"/>
        <w:gridCol w:w="2016"/>
        <w:gridCol w:w="2016"/>
        <w:gridCol w:w="1411"/>
      </w:tblGrid>
      <w:tr>
        <w:trPr>
          <w:tblHeader w:val="on"/>
          <w:cantSplit/>
          <w:tblHeader/>
        </w:trPr>
        <w:tc>
          <w:tcPr>
            <w:tcW w:type="dxa" w:w="322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Policy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Utility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Coverage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Abstain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Gap</w:t>
            </w:r>
          </w:p>
        </w:tc>
      </w:tr>
      <w:tr>
        <w:trPr>
          <w:cantSplit/>
        </w:trPr>
        <w:tc>
          <w:tcPr>
            <w:tcW w:type="dxa" w:w="322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Global abstention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0.758560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0.241440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0.00497</w:t>
            </w:r>
          </w:p>
        </w:tc>
      </w:tr>
      <w:tr>
        <w:trPr>
          <w:cantSplit/>
        </w:trPr>
        <w:tc>
          <w:tcPr>
            <w:tcW w:type="dxa" w:w="322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Top-K-only abstention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1.000000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0.000000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0.00497</w:t>
            </w:r>
          </w:p>
        </w:tc>
      </w:tr>
      <w:tr>
        <w:trPr>
          <w:cantSplit/>
        </w:trPr>
        <w:tc>
          <w:tcPr>
            <w:tcW w:type="dxa" w:w="322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Defer remainder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0.009514</w:t>
            </w:r>
          </w:p>
        </w:tc>
        <w:tc>
          <w:tcPr>
            <w:tcW w:type="dxa" w:w="2016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0.990486</w:t>
            </w:r>
          </w:p>
        </w:tc>
        <w:tc>
          <w:tcPr>
            <w:tcW w:type="dxa" w:w="1411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0.00497</w:t>
            </w:r>
          </w:p>
        </w:tc>
      </w:tr>
    </w:tbl>
    <w:p>
      <w:pPr>
        <w:pStyle w:val="Para"/>
        <w:widowControl w:val="1"/>
        <w:spacing w:before="0" w:after="0" w:line="10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  <w:r>
        <w:t xml:space="preserve">​</w:t>
      </w:r>
    </w:p>
    <w:bookmarkEnd w:id="49"/>
    <w:p>
      <w:pPr>
        <w:pStyle w:val="Para"/>
        <w:widowControl w:val="1"/>
      </w:pPr>
      <w:r>
        <w:rPr>
          <w:lang w:val="en-US"/>
        </w:rPr>
        <w:t xml:space="preserve">Table 13 incor­po­rates the pre­vi­ously dis­con­nected numer­i­cal val­i­da­tion, recal­cu­lated with one entropy con­ven­tion and average ranks for ties. OULAD has lower entropy/error mono­tonic­ity than ASSISTments; the syn­thetic pre­dic­tor is poorly cal­i­brated. Temperature scaling can worsen ECE, so we do not claim cal­i­bra­tion robust­ness from pre­served rank cor­re­la­tion. The report includes con­di­tional row-boot­strap inter­vals and group-specific error counts and Wilson inter­vals across thresh­olds. Historical inter­ac­tion packets lack student cluster IDs, so the ASSISTments inter­vals do not estab­lish cluster-robust uncer­tainty or field reli­a­bil­ity.</w:t>
      </w:r>
    </w:p>
    <w:bookmarkStart w:id="50" w:name="tab:uncertainty_proxy_validation"/>
    <w:bookmarkEnd w:id="50"/>
    <w:bookmarkEnd w:id="51"/>
    <w:bookmarkStart w:id="53" w:name="artifact-checks-and-appeal-scope"/>
    <w:p>
      <w:pPr>
        <w:pStyle w:val="Head2"/>
        <w:keepNext/>
        <w:keepLines/>
        <w:widowControl w:val="1"/>
      </w:pPr>
      <w:r>
        <w:rPr>
          <w:lang w:val="en-US"/>
        </w:rPr>
        <w:t xml:space="preserve">7.5</w:t>
      </w:r>
      <w:r>
        <w:rPr>
          <w:lang w:val="en-US"/>
        </w:rPr>
        <w:t xml:space="preserve">  </w:t>
      </w:r>
      <w:r>
        <w:rPr>
          <w:lang w:val="en-US"/>
        </w:rPr>
        <w:t xml:space="preserve">Artifact checks and appeal scope</w:t>
      </w:r>
    </w:p>
    <w:p>
      <w:pPr>
        <w:pStyle w:val="Para"/>
        <w:widowControl w:val="1"/>
      </w:pPr>
      <w:r>
        <w:rPr>
          <w:lang w:val="en-US"/>
        </w:rPr>
        <w:t xml:space="preserve">The his­tor­i­cal four-point score­card was pop­u­lated by constant booleans in the runner, so it is not evidence of inde­pen­dent artifact val­i­da­tion. The revised verifier instead computes integrity and decision-recon­struc­tion checks and tests failures after packet tam­per­ing or missing policy content. Fitted-model hashes are sep­a­rated from con­fig­u­ra­tion hashes; the earlier con­fig­u­ra­tion-only digest is not pre­sented as an immutable trained-model identity.</w:t>
      </w:r>
    </w:p>
    <w:p>
      <w:pPr>
        <w:pStyle w:val="Para"/>
        <w:widowControl w:val="1"/>
      </w:pPr>
      <w:r>
        <w:rPr>
          <w:lang w:val="en-US"/>
        </w:rPr>
        <w:t xml:space="preserve">The appeal pack (Table 14) is a set of study mate­ri­als. Medical excep­tions, changing income, or removing a feature require addi­tional policy inputs or re-scoring and are outside the fixed-score replay contract. Evidence strings in these mate­ri­als are not exe­cu­tion logs proving that the released engine imple­ments those oper­a­tions.</w:t>
      </w:r>
    </w:p>
    <w:bookmarkStart w:id="52" w:name="tab:appeal_scenarios"/>
    <w:p>
      <w:pPr>
        <w:pStyle w:val="Para"/>
        <w:widowControl w:val="1"/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</w:pPr>
      <w:r>
        <w:rPr>
          <w:lang w:val="en-US"/>
        </w:rPr>
        <w:t xml:space="preserve">Table 13: Recomputed entropy validation. ECE uses 10 equal-width probability bins including score 1; Spearman uses average ranks for ties. Both baseline and temperature stress use entropy in bits.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3: Recomputed entropy validation. ECE uses 10 equal-width probability bins including score 1; Spearman uses average ranks for ties. Both baseline and temperature stress use entropy in bits."/>
      </w:tblPr>
      <w:tblGrid>
        <w:gridCol w:w="2822"/>
        <w:gridCol w:w="1815"/>
        <w:gridCol w:w="1815"/>
        <w:gridCol w:w="1815"/>
        <w:gridCol w:w="1815"/>
      </w:tblGrid>
      <w:tr>
        <w:trPr>
          <w:tblHeader w:val="on"/>
          <w:cantSplit/>
          <w:tblHeader/>
        </w:trPr>
        <w:tc>
          <w:tcPr>
            <w:tcW w:type="dxa" w:w="2822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Dataset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ECE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ρ</m:t>
              </m:r>
            </m:oMath>
          </w:p>
        </w:tc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w:r>
              <w:rPr>
                <w:b/>
                <w:lang w:val="en-US"/>
              </w:rPr>
              <w:t xml:space="preserve">ECE (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=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2</m:t>
              </m:r>
            </m:oMath>
            <w:r>
              <w:rPr>
                <w:b/>
                <w:lang w:val="en-US"/>
              </w:rPr>
              <w:t xml:space="preserve">)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  <w:rPr>
                <w:sz w:val="20"/>
              </w:rPr>
            </w:pP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ρ</m:t>
              </m:r>
            </m:oMath>
            <w:r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(</w:t>
            </w:r>
            <m:oMath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=</m:t>
              </m:r>
              <m:r>
                <w:rPr>
                  <w:rFonts w:ascii="DejaVu Math TeX Gyre" w:hAnsi="DejaVu Math TeX Gyre"/>
                  <w:sz w:val="20"/>
                  <w:szCs w:val="20"/>
                  <w:lang w:val="en-US"/>
                </w:rPr>
                <m:t>2</m:t>
              </m:r>
            </m:oMath>
            <w:r>
              <w:rPr>
                <w:b/>
                <w:lang w:val="en-US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2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ASSISTments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0.0271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0.9789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0.0905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0.9818</w:t>
            </w:r>
          </w:p>
        </w:tc>
      </w:tr>
      <w:tr>
        <w:trPr>
          <w:cantSplit/>
        </w:trPr>
        <w:tc>
          <w:tcPr>
            <w:tcW w:type="dxa" w:w="2822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OULAD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0.0128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0.4166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0.0703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0.4166</w:t>
            </w:r>
          </w:p>
        </w:tc>
      </w:tr>
      <w:tr>
        <w:trPr>
          <w:cantSplit/>
        </w:trPr>
        <w:tc>
          <w:tcPr>
            <w:tcW w:type="dxa" w:w="2822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Synthetic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0.2914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0.6774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0.2398</w:t>
            </w:r>
          </w:p>
        </w:tc>
        <w:tc>
          <w:tcPr>
            <w:tcW w:type="dxa" w:w="18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0.6774</w:t>
            </w:r>
          </w:p>
        </w:tc>
      </w:tr>
    </w:tbl>
    <w:p>
      <w:pPr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</w:p>
    <w:bookmarkEnd w:id="52"/>
    <w:bookmarkEnd w:id="53"/>
    <w:bookmarkEnd w:id="54"/>
    <w:bookmarkStart w:id="59" w:name="sec:discussion"/>
    <w:p>
      <w:pPr>
        <w:pStyle w:val="Head1"/>
        <w:keepNext/>
        <w:keepLines/>
        <w:widowControl w:val="1"/>
      </w:pPr>
      <w:r>
        <w:rPr>
          <w:lang w:val="en-US"/>
        </w:rPr>
        <w:t xml:space="preserve">8</w:t>
      </w:r>
      <w:r>
        <w:rPr>
          <w:lang w:val="en-US"/>
        </w:rPr>
        <w:t xml:space="preserve">  </w:t>
      </w:r>
      <w:r>
        <w:rPr>
          <w:lang w:val="en-US"/>
        </w:rPr>
        <w:t xml:space="preserve">Discussion and Limitations</w:t>
      </w:r>
    </w:p>
    <w:bookmarkStart w:id="55" w:name="institutional-value-and-responsibility"/>
    <w:p>
      <w:pPr>
        <w:pStyle w:val="Head2"/>
        <w:keepNext/>
        <w:keepLines/>
        <w:widowControl w:val="1"/>
      </w:pPr>
      <w:r>
        <w:rPr>
          <w:lang w:val="en-US"/>
        </w:rPr>
        <w:t xml:space="preserve">8.1</w:t>
      </w:r>
      <w:r>
        <w:rPr>
          <w:lang w:val="en-US"/>
        </w:rPr>
        <w:t xml:space="preserve">  </w:t>
      </w:r>
      <w:r>
        <w:rPr>
          <w:lang w:val="en-US"/>
        </w:rPr>
        <w:t xml:space="preserve">Institutional value and responsibility</w:t>
      </w:r>
    </w:p>
    <w:p>
      <w:pPr>
        <w:pStyle w:val="Para"/>
        <w:widowControl w:val="1"/>
      </w:pPr>
      <w:r>
        <w:rPr>
          <w:lang w:val="en-US"/>
        </w:rPr>
        <w:t xml:space="preserve">An audit trail makes choices inspectable, but does not make the choices legit­i­mate by itself. Constraints are set by actors with author­ity and incen­tives; ver­sion­ing can expose changes but cannot prevent capture or selec­tive com­pli­ance [17, 13]. Institutions still need acces­si­ble appeal channels, a mandate for policy changes, appro­pri­ate staffing and a way to reverse or remedy deci­sions. A deploy­ment should record who changed a policy, why, who may contest it and how result­ing cases are handled.</w:t>
      </w:r>
    </w:p>
    <w:p>
      <w:pPr>
        <w:pStyle w:val="Para"/>
        <w:widowControl w:val="1"/>
      </w:pPr>
      <w:r>
        <w:rPr>
          <w:lang w:val="en-US"/>
        </w:rPr>
        <w:t xml:space="preserve">Automation coverage measures auto­mated outcomes, includ­ing rejec­tion. It must not be equated with access to support or students helped. In screen­ing mode the coverage floor can conflict struc­turally with limited K; increas­ing auto­ma­tion by rela­bel­ing cases changes the division of respon­si­bil­ity between software and staff. Our exper­i­ments expose that choice rather than endorse one taxonomy uni­ver­sally.</w:t>
      </w:r>
    </w:p>
    <w:bookmarkEnd w:id="55"/>
    <w:bookmarkStart w:id="56" w:name="what-the-evidence-establishes"/>
    <w:p>
      <w:pPr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p>
      <w:pPr>
        <w:pStyle w:val="TableCaption"/>
        <w:keepNext/>
        <w:keepLines/>
        <w:widowControl w:val="1"/>
        <w:spacing w:before="120" w:after="60"/>
        <w:contextualSpacing w:val="0"/>
      </w:pPr>
      <w:r>
        <w:rPr>
          <w:lang w:val="en-US"/>
        </w:rPr>
        <w:t xml:space="preserve">Table 14: Illustrative N=16 study materials, not execution logs. Full Portuguese narratives and A/B evidence strings remain in the eight local case JSONs. The scope column distinguishes fixed-score replay from operations that the engine does not implement.</w:t>
      </w:r>
    </w:p>
    <w:tbl>
      <w:tblPr>
        <w:tblStyle w:val="TableNormal"/>
        <w:tblW w:type="dxa" w:w="10080"/>
        <w:tblBorders>
          <w:top w:val="single" w:sz="4" w:color="000000"/>
          <w:bottom w:val="single" w:sz="4" w:color="000000"/>
        </w:tblBorders>
        <w:tblLayout w:type="fixed"/>
        <w:tblLook w:firstRow="1" w:lastRow="0" w:firstColumn="0" w:lastColumn="0" w:noHBand="0" w:noVBand="0" w:val="0020"/>
        <w:tblCaption w:val="Table 14: Illustrative N=16 study materials, not execution logs. Full Portuguese narratives and A/B evidence strings remain in the eight local case JSONs. The scope column distinguishes fixed-score replay from operations that the engine does not implement."/>
      </w:tblPr>
      <w:tblGrid>
        <w:gridCol w:w="605"/>
        <w:gridCol w:w="1915"/>
        <w:gridCol w:w="4335"/>
        <w:gridCol w:w="3225"/>
      </w:tblGrid>
      <w:tr>
        <w:trPr>
          <w:tblHeader w:val="on"/>
          <w:cantSplit/>
          <w:tblHeader/>
        </w:trPr>
        <w:tc>
          <w:tcPr>
            <w:tcW w:type="dxa" w:w="60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Case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Diagnostic category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Evidence illustrated in the instrument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  <w:tcBorders>
              <w:bottom w:val="single" w:sz="4" w:color="000000"/>
            </w:tcBorders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b/>
                <w:lang w:val="en-US"/>
              </w:rPr>
              <w:t xml:space="preserve">Engine scope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C1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Stale input data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Income snapshot and update lineage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Corrected inputs require new inference.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C2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Policy change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Policy versions and effective dates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Fixed-score replay only for supported policy fields.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C3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Normative exception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Medical flag and force-inclusion rule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Exception rule and medical inputs are not implemented.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C4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Capacity constraint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School capacity and revised availability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Global K replay supported; per-school capacity is outside the engine.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C5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Fairness constraint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Group gap and policy cap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Retrospective candidate check; no per-person fairness reranking.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C6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Proxy risk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ZIP-code correlation and feature removal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Proxy audit/removal requires additional analysis or fitting.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C7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Abstention error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Uncertainty value and threshold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keepNext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Supported score-based abstention reconstruction.</w:t>
            </w:r>
          </w:p>
        </w:tc>
      </w:tr>
      <w:tr>
        <w:trPr>
          <w:cantSplit/>
        </w:trPr>
        <w:tc>
          <w:tcPr>
            <w:tcW w:type="dxa" w:w="60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C8</w:t>
            </w:r>
          </w:p>
        </w:tc>
        <w:tc>
          <w:tcPr>
            <w:tcW w:type="dxa" w:w="191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Version mismatch</w:t>
            </w:r>
          </w:p>
        </w:tc>
        <w:tc>
          <w:tcPr>
            <w:tcW w:type="dxa" w:w="433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Declared and executed policy hashes</w:t>
            </w:r>
          </w:p>
        </w:tc>
        <w:tc>
          <w:tcPr>
            <w:tcW w:type="dxa" w:w="3225"/>
            <w:tcMar>
              <w:left w:w="60" w:type="dxa"/>
              <w:right w:w="60" w:type="dxa"/>
            </w:tcMar>
          </w:tcPr>
          <w:p>
            <w:pPr>
              <w:pStyle w:val="Para"/>
              <w:spacing w:before="0" w:after="0" w:line="220" w:lineRule="atLeast"/>
              <w:ind w:firstLine="0" w:left="0" w:right="0"/>
              <w:jc w:val="left"/>
            </w:pPr>
            <w:r>
              <w:rPr>
                <w:lang w:val="en-US"/>
              </w:rPr>
              <w:t xml:space="preserve">Content/hash consistency check; no CI/CD system integration.</w:t>
            </w:r>
          </w:p>
        </w:tc>
      </w:tr>
    </w:tbl>
    <w:p>
      <w:pPr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1" w:space="480"/>
          <w:titlePg/>
          <w:docGrid w:linePitch="360"/>
        </w:sectPr>
      </w:pPr>
    </w:p>
    <w:p>
      <w:pPr>
        <w:pStyle w:val="Head2"/>
        <w:keepNext/>
        <w:keepLines/>
        <w:widowControl w:val="1"/>
      </w:pPr>
      <w:r>
        <w:rPr>
          <w:lang w:val="en-US"/>
        </w:rPr>
        <w:t xml:space="preserve">8.2</w:t>
      </w:r>
      <w:r>
        <w:rPr>
          <w:lang w:val="en-US"/>
        </w:rPr>
        <w:t xml:space="preserve">  </w:t>
      </w:r>
      <w:r>
        <w:rPr>
          <w:lang w:val="en-US"/>
        </w:rPr>
        <w:t xml:space="preserve">What the evidence establishes</w:t>
      </w:r>
    </w:p>
    <w:p>
      <w:pPr>
        <w:pStyle w:val="Para"/>
        <w:widowControl w:val="1"/>
      </w:pPr>
      <w:r>
        <w:rPr>
          <w:lang w:val="en-US"/>
        </w:rPr>
        <w:t xml:space="preserve">The strong­est evidence is com­pu­ta­tional: rules can be made explicit, deci­sions can be replayed on fixed scores, infea­si­bil­ity can be surfaced, and revised exports can be gated. Sample-level con­straints are not pop­u­la­tion guar­an­tees. Policy selec­tion on the same labelled audit set is exploratory. One his­tor­i­cal model and split per dataset do not estab­lish multi-seed pre­dic­tive sta­bil­ity, com­par­a­tive state of the art or edu­ca­tional treat­ment benefit.</w:t>
      </w:r>
    </w:p>
    <w:p>
      <w:pPr>
        <w:pStyle w:val="Para"/>
        <w:widowControl w:val="1"/>
      </w:pPr>
      <w:r>
        <w:rPr>
          <w:lang w:val="en-US"/>
        </w:rPr>
        <w:t xml:space="preserve">The N=16 study is exploratory, uses author-defined stan­dard­ized sce­nar­ios and mixed tech­ni­cal profiles, and has incom­plete recruit­ment and training doc­u­men­ta­tion. Volunteers and consent do not sub­sti­tute for a formal ethics review, which was not obtained. No causal sep­a­ra­tion among prove­nance, struc­tured infor­ma­tion and replay is possible in its two con­di­tions. Diagnosis and reme­di­a­tion cor­rect­ness are per­fectly con­cor­dant in these responses, so the study provides fewer inde­pen­dent outcome dimen­sions than its labels might suggest. A prospec­tive study with inde­pen­dent cases, front­line stake­hold­ers and doc­u­mented insti­tu­tional review is needed before making field claims.</w:t>
      </w:r>
    </w:p>
    <w:bookmarkEnd w:id="56"/>
    <w:bookmarkStart w:id="57" w:name="uncertainty-and-data-limitations"/>
    <w:p>
      <w:pPr>
        <w:pStyle w:val="Head2"/>
        <w:keepNext/>
        <w:keepLines/>
        <w:widowControl w:val="1"/>
      </w:pPr>
      <w:r>
        <w:rPr>
          <w:lang w:val="en-US"/>
        </w:rPr>
        <w:t xml:space="preserve">8.3</w:t>
      </w:r>
      <w:r>
        <w:rPr>
          <w:lang w:val="en-US"/>
        </w:rPr>
        <w:t xml:space="preserve">  </w:t>
      </w:r>
      <w:r>
        <w:rPr>
          <w:lang w:val="en-US"/>
        </w:rPr>
        <w:t xml:space="preserve">Uncertainty and data limitations</w:t>
      </w:r>
    </w:p>
    <w:p>
      <w:pPr>
        <w:pStyle w:val="Para"/>
        <w:widowControl w:val="1"/>
      </w:pPr>
      <w:r>
        <w:rPr>
          <w:lang w:val="en-US"/>
        </w:rPr>
        <w:t xml:space="preserve">Predictive entropy is a scalar con­fi­dence proxy, not a decom­po­si­tion of epis­temic and aleatoric uncer­tainty. Calibration and entropy/error cor­re­la­tion do not alone validate the safety of deferral. We there­fore provide group-level selec­tive-error sum­maries and explic­itly con­di­tional inter­vals. ASSISTments uses school-ID parity only to stress the con­straint machin­ery; it does not measure pro­tected-group dis­par­i­ties. OULAD uses binary gender and success labels, leaving wider inter­sec­tional and mea­sure­ment ques­tions unre­solved [3].</w:t>
      </w:r>
    </w:p>
    <w:bookmarkEnd w:id="57"/>
    <w:bookmarkStart w:id="58" w:name="X21b5b3c985cd7c3b9fbf31e6fd718f13d1a8a9d"/>
    <w:p>
      <w:pPr>
        <w:pStyle w:val="Head2"/>
        <w:keepNext/>
        <w:keepLines/>
        <w:widowControl w:val="1"/>
      </w:pPr>
      <w:r>
        <w:rPr>
          <w:lang w:val="en-US"/>
        </w:rPr>
        <w:t xml:space="preserve">8.4</w:t>
      </w:r>
      <w:r>
        <w:rPr>
          <w:lang w:val="en-US"/>
        </w:rPr>
        <w:t xml:space="preserve">  </w:t>
      </w:r>
      <w:r>
        <w:rPr>
          <w:lang w:val="en-US"/>
        </w:rPr>
        <w:t xml:space="preserve">Privacy, integrity and operational boundaries</w:t>
      </w:r>
    </w:p>
    <w:p>
      <w:pPr>
        <w:pStyle w:val="Para"/>
        <w:widowControl w:val="1"/>
      </w:pPr>
      <w:r>
        <w:rPr>
          <w:lang w:val="en-US"/>
        </w:rPr>
        <w:t xml:space="preserve">Packets must contain the inputs required for the sup­ported rule, with purpose-appro­pri­ate access and reten­tion controls. Publishing medical infor­ma­tion or raw feature his­to­ries is not required by our minimum contract. An insti­tu­tion can keep restricted source evidence behind resolv­able ref­er­ences, but missing evidence must be reported rather than treated as replay success. Hashes estab­lish con­sis­tency of bytes, not external authen­tic­ity or truth. The revised runner’s review-required file is not a con­nected case-man­age­ment process.</w:t>
      </w:r>
    </w:p>
    <w:p>
      <w:pPr>
        <w:pStyle w:val="Para"/>
        <w:widowControl w:val="1"/>
      </w:pPr>
      <w:r>
        <w:rPr>
          <w:lang w:val="en-US"/>
        </w:rPr>
        <w:t xml:space="preserve">We make no auto­matic legal-com­pli­ance claim. A par­tic­u­lar deploy­ment requires juris­dic­tion-specific insti­tu­tional review. Instrumented per-case audit cost, staffing capacity, actual access to appeal, inde­pen­dent prospec­tive eval­u­a­tion and model re-scoring under cor­rected inputs remain future work. Changing a feature or target creates a new infer­ence or modeling task and must not be described as a policy-only replay.</w:t>
      </w:r>
    </w:p>
    <w:bookmarkEnd w:id="58"/>
    <w:bookmarkEnd w:id="59"/>
    <w:bookmarkStart w:id="61" w:name="sec:conclusion"/>
    <w:p>
      <w:pPr>
        <w:pStyle w:val="Head1"/>
        <w:keepNext/>
        <w:keepLines/>
        <w:widowControl w:val="1"/>
      </w:pPr>
      <w:r>
        <w:rPr>
          <w:lang w:val="en-US"/>
        </w:rPr>
        <w:t xml:space="preserve">9</w:t>
      </w:r>
      <w:r>
        <w:rPr>
          <w:lang w:val="en-US"/>
        </w:rPr>
        <w:t xml:space="preserve">  </w:t>
      </w:r>
      <w:r>
        <w:rPr>
          <w:lang w:val="en-US"/>
        </w:rPr>
        <w:t xml:space="preserve">Conclusion</w:t>
      </w:r>
    </w:p>
    <w:p>
      <w:pPr>
        <w:pStyle w:val="Para"/>
        <w:widowControl w:val="1"/>
      </w:pPr>
      <w:r>
        <w:rPr>
          <w:lang w:val="en-US"/>
        </w:rPr>
        <w:t xml:space="preserve">We present an artifact-oriented approach to edu­ca­tional decision-system gov­er­nance: explicit policy, empir­i­cal con­straints, deter­min­is­tic feasible-Pareto selec­tion and fixed-score replay. The revision rec­on­ciles def­i­ni­tions, iden­ti­fies the actual outcome-pre­dic­tion tasks, spec­i­fies entropy in bits and capacity ceilings, and sep­a­rates his­tor­i­cal vio­la­tion report­ing from the revised export gate. Computational reports expose policy-depen­dent fea­si­bil­ity and the con­se­quences of decision taxonomy without implying improved student outcomes.</w:t>
      </w:r>
    </w:p>
    <w:p>
      <w:pPr>
        <w:pStyle w:val="Para"/>
        <w:widowControl w:val="1"/>
      </w:pPr>
      <w:r>
        <w:rPr>
          <w:lang w:val="en-US"/>
        </w:rPr>
        <w:t xml:space="preserve">An exploratory N=16 study supports the complete struc­tured-evidence bundle for stan­dard­ized appeal diag­no­sis, with revised sta­tis­ti­cal report­ing and explicit ethical and method­olog­i­cal limits. It does not validate every hypo­thet­i­cal excep­tion, isolate replay from infor­ma­tion avail­abil­ity or estab­lish insti­tu­tional recourse. Future work requires prospec­tive stake­holder eval­u­a­tion, doc­u­mented ethical review, inde­pen­dent policy val­i­da­tion, richer uncer­tainty methods and an instru­mented human workflow. Code, exact counts and revision analyses are iden­ti­fied in Appendix 10; dis­tri­bu­tion of par­tic­i­pant responses is separate from dis­tri­bu­tion of aggre­gate results.</w:t>
      </w:r>
    </w:p>
    <w:bookmarkStart w:id="60" w:name="acknowledgments"/>
    <w:p>
      <w:pPr>
        <w:pStyle w:val="Head2"/>
        <w:keepNext/>
        <w:keepLines/>
        <w:widowControl w:val="1"/>
      </w:pPr>
      <w:r>
        <w:rPr>
          <w:lang w:val="en-US"/>
        </w:rPr>
        <w:t xml:space="preserve">ACKNOWLEDGMENTS</w:t>
      </w:r>
    </w:p>
    <w:p>
      <w:pPr>
        <w:pStyle w:val="Para"/>
        <w:widowControl w:val="1"/>
      </w:pPr>
      <w:r>
        <w:rPr>
          <w:lang w:val="en-US"/>
        </w:rPr>
        <w:t xml:space="preserve">We thank the vol­un­teers and col­leagues who con­trib­uted to the exploratory eval­u­a­tion.</w:t>
      </w:r>
    </w:p>
    <w:bookmarkEnd w:id="60"/>
    <w:bookmarkEnd w:id="61"/>
    <w:bookmarkStart w:id="82" w:name="references"/>
    <w:p>
      <w:pPr>
        <w:pStyle w:val="ReferenceHead"/>
        <w:keepNext/>
        <w:widowControl w:val="1"/>
      </w:pPr>
      <w:r>
        <w:rPr>
          <w:lang w:val="en-US"/>
        </w:rPr>
        <w:t xml:space="preserve">REFERENCES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Kars Alfrink, Ianus Keller, Gerd Kortuem,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Neelke Doorn. 2023. Contestable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AI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by Design: Towards a Framework.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Minds and Machines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33 (2023), 613–639.</w:t>
      </w:r>
      <w:r>
        <w:rPr>
          <w:sz w:val="16"/>
          <w:szCs w:val="16"/>
          <w:lang w:val="en-US"/>
        </w:rPr>
        <w:t xml:space="preserve"> </w:t>
      </w:r>
      <w:hyperlink r:id="rIdArticle27">
        <w:r>
          <w:rPr>
            <w:lang w:val="en-US"/>
          </w:rPr>
          <w:t xml:space="preserve">https://doi.org/10.1007/s11023-022-09611-z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[2]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Anastasios N. Angelopoulos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Stephen Bates. 2021. A Gentle Introduction to Conformal Prediction and Distribution-Free Uncertainty Quantification.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arXiv preprint arXiv:2107.07511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(2021).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[3]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Ryan S. Baker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Aaron Hawn. 2022. Algorithmic Bias in Education.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International Journal of Artificial Intelligence in Education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32, 4 (2022), 1052–1092.</w:t>
      </w:r>
      <w:r>
        <w:rPr>
          <w:sz w:val="16"/>
          <w:szCs w:val="16"/>
          <w:lang w:val="en-US"/>
        </w:rPr>
        <w:t xml:space="preserve"> </w:t>
      </w:r>
      <w:hyperlink r:id="rIdArticle29">
        <w:r>
          <w:rPr>
            <w:lang w:val="en-US"/>
          </w:rPr>
          <w:t xml:space="preserve">https://doi.org/10.1007/s40593-021-00285-9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[4]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C. K. Chow. 1970. On optimum recog­ni­tion error and reject tradeoff.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IEEE Transactions on Information Theory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16, 1 (1970), 41–46.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[5]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Danielle Keats Citron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Frank Pasquale. 2014. The Scored Society: Due Process for Automated Predictions.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Washington Law Review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89, 1 (2014), 1–33.</w:t>
      </w:r>
      <w:r>
        <w:rPr>
          <w:sz w:val="16"/>
          <w:szCs w:val="16"/>
          <w:lang w:val="en-US"/>
        </w:rPr>
        <w:t xml:space="preserve"> </w:t>
      </w:r>
      <w:hyperlink r:id="rIdArticle25">
        <w:r>
          <w:rPr>
            <w:lang w:val="en-US"/>
          </w:rPr>
          <w:t xml:space="preserve">https://digitalcommons.law.uw.edu/wlr/vol89/iss1/2/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[6]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Virginia Dignum. 2018. Ethics in arti­fi­cial intel­li­gence: intro­duc­tion to the special issue.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Ethics and Information Technology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20, 1 (2018), 1–3.</w:t>
      </w:r>
      <w:r>
        <w:rPr>
          <w:sz w:val="16"/>
          <w:szCs w:val="16"/>
          <w:lang w:val="en-US"/>
        </w:rPr>
        <w:t xml:space="preserve"> </w:t>
      </w:r>
      <w:hyperlink r:id="rIdArticle26">
        <w:r>
          <w:rPr>
            <w:lang w:val="en-US"/>
          </w:rPr>
          <w:t xml:space="preserve">https://doi.org/10.1007/s10676-018-9450-z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[7]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District Court of The Hague</w:t>
      </w:r>
      <w:r>
        <w:rPr>
          <w:sz w:val="16"/>
          <w:szCs w:val="16"/>
          <w:lang w:val="en-US"/>
        </w:rPr>
        <w:t xml:space="preserve">. 2020. Judgment on the System Risk Indication (</w:t>
      </w:r>
      <w:r>
        <w:rPr>
          <w:sz w:val="16"/>
          <w:szCs w:val="16"/>
          <w:lang w:val="en-US"/>
        </w:rPr>
        <w:t xml:space="preserve">SyRI</w:t>
      </w:r>
      <w:r>
        <w:rPr>
          <w:sz w:val="16"/>
          <w:szCs w:val="16"/>
          <w:lang w:val="en-US"/>
        </w:rPr>
        <w:t xml:space="preserve">) leg­is­la­tion (ECLI:NL:RBDHA:2020:1878).</w:t>
      </w:r>
      <w:r>
        <w:rPr>
          <w:sz w:val="16"/>
          <w:szCs w:val="16"/>
          <w:lang w:val="en-US"/>
        </w:rPr>
        <w:t xml:space="preserve"> </w:t>
      </w:r>
      <w:hyperlink r:id="rIdArticle41">
        <w:r>
          <w:rPr>
            <w:lang w:val="en-US"/>
          </w:rPr>
          <w:t xml:space="preserve">https://uitspraken.rechtspraak.nl/details?id=ECLI%3ANL%3ARBDHA%3A2020%3A1878</w:t>
        </w:r>
      </w:hyperlink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Judgment date: 5 Feb 2020; accessed 2026-01-24.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[8]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European Commission, High-Level Expert Group on Artificial Intelligence</w:t>
      </w:r>
      <w:r>
        <w:rPr>
          <w:sz w:val="16"/>
          <w:szCs w:val="16"/>
          <w:lang w:val="en-US"/>
        </w:rPr>
        <w:t xml:space="preserve">. 2019. Ethics Guidelines for Trustworthy AI. European Commission Digital Strategy.</w:t>
      </w:r>
      <w:r>
        <w:rPr>
          <w:sz w:val="16"/>
          <w:szCs w:val="16"/>
          <w:lang w:val="en-US"/>
        </w:rPr>
        <w:t xml:space="preserve"> </w:t>
      </w:r>
      <w:hyperlink r:id="rIdArticle24">
        <w:r>
          <w:rPr>
            <w:lang w:val="en-US"/>
          </w:rPr>
          <w:t xml:space="preserve">https://digital-strategy.ec.europa.eu/en/library/ethics-guidelines-trustworthy-ai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[9]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Todd Feathers. 2023. False Alarm: How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Wisconsin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Uses Race and Income to Label Students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“High Risk”</w:t>
      </w:r>
      <w:r>
        <w:rPr>
          <w:sz w:val="16"/>
          <w:szCs w:val="16"/>
          <w:lang w:val="en-US"/>
        </w:rPr>
        <w:t xml:space="preserve">. The Markup.</w:t>
      </w:r>
      <w:r>
        <w:rPr>
          <w:sz w:val="16"/>
          <w:szCs w:val="16"/>
          <w:lang w:val="en-US"/>
        </w:rPr>
        <w:t xml:space="preserve"> </w:t>
      </w:r>
      <w:hyperlink r:id="rIdArticle40">
        <w:r>
          <w:rPr>
            <w:lang w:val="en-US"/>
          </w:rPr>
          <w:t xml:space="preserve">https://themarkup.org/machine-learning/2023/04/27/false-alarm-how-wisconsin-uses-race-and-income-to-label-students-high-risk</w:t>
        </w:r>
      </w:hyperlink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Accessed 2026-01-24.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[10]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Mingyu Feng, Neil T. Heffernan,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Kenneth R. Koedinger. 2009. Addressing the assess­ment chal­lenge in an Intelligent Tutoring System that tutors as it assesses.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User Modeling and User-Adapted Interaction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19, 3 (2009), 243–266.</w:t>
      </w:r>
      <w:r>
        <w:rPr>
          <w:sz w:val="16"/>
          <w:szCs w:val="16"/>
          <w:lang w:val="en-US"/>
        </w:rPr>
        <w:t xml:space="preserve"> </w:t>
      </w:r>
      <w:hyperlink r:id="rIdArticle28">
        <w:r>
          <w:rPr>
            <w:lang w:val="en-US"/>
          </w:rPr>
          <w:t xml:space="preserve">https://doi.org/10.1007/s11257-009-9063-7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[11]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Yonatan Geifman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Ran El-Yaniv. 2019. SelectiveNet: A deep neural network with an inte­grated reject option. In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Proceedings of the 36th International Conference on Machine Learning (ICML)</w:t>
      </w:r>
      <w:r>
        <w:rPr>
          <w:sz w:val="16"/>
          <w:szCs w:val="16"/>
          <w:lang w:val="en-US"/>
        </w:rPr>
        <w:t xml:space="preserve">.</w:t>
      </w:r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[12]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Jakub Kuzilek, Martin Hlosta,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Zdenek Zdrahal. 2017. Open University Learning Analytics dataset.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Scientific Data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4 (2017), 170171.</w:t>
      </w:r>
      <w:r>
        <w:rPr>
          <w:sz w:val="16"/>
          <w:szCs w:val="16"/>
          <w:lang w:val="en-US"/>
        </w:rPr>
        <w:t xml:space="preserve"> </w:t>
      </w:r>
      <w:hyperlink r:id="rIdArticle31">
        <w:r>
          <w:rPr>
            <w:lang w:val="en-US"/>
          </w:rPr>
          <w:t xml:space="preserve">https://doi.org/10.1038/sdata.2017.171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[13]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Jacob Metcalf, Emanuel Moss, Elizabeth Anne Watkins, Ranjit Singh,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Madeleine Clare Elish. 2021. Algorithmic Impact Assessments and Accountability: The Co-Construction of Impacts. In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Proceedings of the 2021 ACM Conference on Fairness, Accountability, and Transparency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(FAccT ’21)</w:t>
      </w:r>
      <w:r>
        <w:rPr>
          <w:sz w:val="16"/>
          <w:szCs w:val="16"/>
          <w:lang w:val="en-US"/>
        </w:rPr>
        <w:t xml:space="preserve">. Association for Computing Machinery, 735–746.</w:t>
      </w:r>
      <w:r>
        <w:rPr>
          <w:sz w:val="16"/>
          <w:szCs w:val="16"/>
          <w:lang w:val="en-US"/>
        </w:rPr>
        <w:t xml:space="preserve"> </w:t>
      </w:r>
      <w:hyperlink r:id="rIdArticle34">
        <w:r>
          <w:rPr>
            <w:lang w:val="en-US"/>
          </w:rPr>
          <w:t xml:space="preserve">https://doi.org/10.1145/3442188.3445935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[14]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Brent Mittelstadt. 2019. Principles alone cannot guar­an­tee ethical AI.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Nature Machine Intelligence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1, 11 (2019), 501–507.</w:t>
      </w:r>
      <w:r>
        <w:rPr>
          <w:sz w:val="16"/>
          <w:szCs w:val="16"/>
          <w:lang w:val="en-US"/>
        </w:rPr>
        <w:t xml:space="preserve"> </w:t>
      </w:r>
      <w:hyperlink r:id="rIdArticle30">
        <w:r>
          <w:rPr>
            <w:lang w:val="en-US"/>
          </w:rPr>
          <w:t xml:space="preserve">https://doi.org/10.1038/s42256-019-0114-4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[15]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OECD</w:t>
      </w:r>
      <w:r>
        <w:rPr>
          <w:sz w:val="16"/>
          <w:szCs w:val="16"/>
          <w:lang w:val="en-US"/>
        </w:rPr>
        <w:t xml:space="preserve">. 2019. Recommendation of the Council on Artificial Intelligence. OECD Legal Instruments.</w:t>
      </w:r>
      <w:r>
        <w:rPr>
          <w:sz w:val="16"/>
          <w:szCs w:val="16"/>
          <w:lang w:val="en-US"/>
        </w:rPr>
        <w:t xml:space="preserve"> </w:t>
      </w:r>
      <w:hyperlink r:id="rIdArticle38">
        <w:r>
          <w:rPr>
            <w:lang w:val="en-US"/>
          </w:rPr>
          <w:t xml:space="preserve">https://legalinstruments.oecd.org/en/instruments/oecd-legal-0449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[16]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Pedro Saleiro, Benedict Kuester, Loren Hinkson, Jesse London, Anna Stevens, Ari Anisfeld, Kit T. Rodolfa,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Rayid Ghani. 2018. Aequitas: A Bias and Fairness Audit Toolkit.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arXiv preprint arXiv:1811.05577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(2018).</w:t>
      </w:r>
      <w:r>
        <w:rPr>
          <w:sz w:val="16"/>
          <w:szCs w:val="16"/>
          <w:lang w:val="en-US"/>
        </w:rPr>
        <w:t xml:space="preserve"> </w:t>
      </w:r>
      <w:hyperlink r:id="rIdArticle23">
        <w:r>
          <w:rPr>
            <w:lang w:val="en-US"/>
          </w:rPr>
          <w:t xml:space="preserve">https://arxiv.org/abs/1811.05577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[17]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Andrew D. Selbst, Danah Boyd, Sorelle A. Friedler, Suresh Venkatasubramanian,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Janet Vertesi. 2019. Fairness and Abstraction in Sociotechnical Systems. In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Proceedings of the Conference on Fairness, Accountability, and Transparency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(FAT* ’19)</w:t>
      </w:r>
      <w:r>
        <w:rPr>
          <w:sz w:val="16"/>
          <w:szCs w:val="16"/>
          <w:lang w:val="en-US"/>
        </w:rPr>
        <w:t xml:space="preserve">. Association for Computing Machinery, 59–68.</w:t>
      </w:r>
      <w:r>
        <w:rPr>
          <w:sz w:val="16"/>
          <w:szCs w:val="16"/>
          <w:lang w:val="en-US"/>
        </w:rPr>
        <w:t xml:space="preserve"> </w:t>
      </w:r>
      <w:hyperlink r:id="rIdArticle32">
        <w:r>
          <w:rPr>
            <w:lang w:val="en-US"/>
          </w:rPr>
          <w:t xml:space="preserve">https://doi.org/10.1145/3287560.3287598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[18]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Elham Tabassi. 2023. Artificial Intelligence Risk Management Framework (AI RMF 1.0).</w:t>
      </w:r>
      <w:r>
        <w:rPr>
          <w:sz w:val="16"/>
          <w:szCs w:val="16"/>
          <w:lang w:val="en-US"/>
        </w:rPr>
        <w:t xml:space="preserve"> </w:t>
      </w:r>
      <w:hyperlink r:id="rIdArticle36">
        <w:r>
          <w:rPr>
            <w:lang w:val="en-US"/>
          </w:rPr>
          <w:t xml:space="preserve">https://doi.org/10.6028/NIST.AI.100-1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[19]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UNESCO</w:t>
      </w:r>
      <w:r>
        <w:rPr>
          <w:sz w:val="16"/>
          <w:szCs w:val="16"/>
          <w:lang w:val="en-US"/>
        </w:rPr>
        <w:t xml:space="preserve">. 2021. Recommendation on the Ethics of Artificial Intelligence. UNESDOC Digital Library.</w:t>
      </w:r>
      <w:r>
        <w:rPr>
          <w:sz w:val="16"/>
          <w:szCs w:val="16"/>
          <w:lang w:val="en-US"/>
        </w:rPr>
        <w:t xml:space="preserve"> </w:t>
      </w:r>
      <w:hyperlink r:id="rIdArticle42">
        <w:r>
          <w:rPr>
            <w:lang w:val="en-US"/>
          </w:rPr>
          <w:t xml:space="preserve">https://unesdoc.unesco.org/ark:/48223/pf0000380455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[20]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Berk Ustun, Yang Liu,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and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David Parkes. 2019. Fairness without Harm: Decoupled Classifiers with Preference Guarantees. In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Proceedings of the 36th International Conference on Machine Learning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(Proceedings of Machine Learning Research, Vol. 97)</w:t>
      </w:r>
      <w:r>
        <w:rPr>
          <w:sz w:val="16"/>
          <w:szCs w:val="16"/>
          <w:lang w:val="en-US"/>
        </w:rPr>
        <w:t xml:space="preserve">. 6373–6382.</w:t>
      </w:r>
      <w:r>
        <w:rPr>
          <w:sz w:val="16"/>
          <w:szCs w:val="16"/>
          <w:lang w:val="en-US"/>
        </w:rPr>
        <w:t xml:space="preserve"> </w:t>
      </w:r>
      <w:hyperlink r:id="rIdArticle39">
        <w:r>
          <w:rPr>
            <w:lang w:val="en-US"/>
          </w:rPr>
          <w:t xml:space="preserve">https://proceedings.mlr.press/v97/ustun19a.html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[21]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Hilde Weerts, Miroslav Dud</w:t>
      </w:r>
      <w:r>
        <w:rPr>
          <w:sz w:val="16"/>
          <w:szCs w:val="16"/>
          <w:lang w:val="en-US"/>
        </w:rPr>
        <w:t xml:space="preserve">í</w:t>
      </w:r>
      <w:r>
        <w:rPr>
          <w:sz w:val="16"/>
          <w:szCs w:val="16"/>
          <w:lang w:val="en-US"/>
        </w:rPr>
        <w:t xml:space="preserve">k,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et al.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2023. Fairlearn: Assessing and Improving Fairness of AI Systems.</w:t>
      </w:r>
      <w:r>
        <w:rPr>
          <w:sz w:val="16"/>
          <w:szCs w:val="16"/>
          <w:lang w:val="en-US"/>
        </w:rPr>
        <w:t xml:space="preserve"> </w:t>
      </w:r>
      <w:hyperlink r:id="rIdArticle35">
        <w:r>
          <w:rPr>
            <w:lang w:val="en-US"/>
          </w:rPr>
          <w:t xml:space="preserve">https://doi.org/10.5555/3648699.3648956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[22]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Maranke Wieringa. 2020. What to Account for When Accounting for Algorithms: A Systematic Literature Review on Algorithmic Accountability. In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Proceedings of the 2020 Conference on Fairness, Accountability, and Transparency</w:t>
      </w:r>
      <w:r>
        <w:rPr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en-US"/>
        </w:rPr>
        <w:t xml:space="preserve">(FAT* ’20)</w:t>
      </w:r>
      <w:r>
        <w:rPr>
          <w:sz w:val="16"/>
          <w:szCs w:val="16"/>
          <w:lang w:val="en-US"/>
        </w:rPr>
        <w:t xml:space="preserve">. Association for Computing Machinery, 1–18.</w:t>
      </w:r>
      <w:r>
        <w:rPr>
          <w:sz w:val="16"/>
          <w:szCs w:val="16"/>
          <w:lang w:val="en-US"/>
        </w:rPr>
        <w:t xml:space="preserve"> </w:t>
      </w:r>
      <w:hyperlink r:id="rIdArticle33">
        <w:r>
          <w:rPr>
            <w:lang w:val="en-US"/>
          </w:rPr>
          <w:t xml:space="preserve">https://doi.org/10.1145/3351095.3372833</w:t>
        </w:r>
      </w:hyperlink>
    </w:p>
    <w:p>
      <w:pPr>
        <w:pStyle w:val="Bibentry"/>
        <w:widowControl w:val="1"/>
        <w:spacing w:before="0" w:after="10" w:line="190" w:lineRule="atLeast"/>
      </w:pPr>
      <w:r>
        <w:rPr>
          <w:sz w:val="16"/>
          <w:szCs w:val="16"/>
          <w:lang w:val="en-US"/>
        </w:rPr>
        <w:t xml:space="preserve">[23]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WIRED</w:t>
      </w:r>
      <w:r>
        <w:rPr>
          <w:sz w:val="16"/>
          <w:szCs w:val="16"/>
          <w:lang w:val="en-US"/>
        </w:rPr>
        <w:t xml:space="preserve">. 2020. The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UK</w:t>
      </w:r>
      <w:r>
        <w:rPr>
          <w:sz w:val="16"/>
          <w:szCs w:val="16"/>
          <w:lang w:val="en-US"/>
        </w:rPr>
        <w:t xml:space="preserve">’s Exam Algorithm Was a Disaster. Here’s Why It’s a Warning for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AI</w:t>
      </w:r>
      <w:r>
        <w:rPr>
          <w:sz w:val="16"/>
          <w:szCs w:val="16"/>
          <w:lang w:val="en-US"/>
        </w:rPr>
        <w:t xml:space="preserve">.</w:t>
      </w:r>
      <w:r>
        <w:rPr>
          <w:sz w:val="16"/>
          <w:szCs w:val="16"/>
          <w:lang w:val="en-US"/>
        </w:rPr>
        <w:t xml:space="preserve"> </w:t>
      </w:r>
      <w:hyperlink r:id="rIdArticle43">
        <w:r>
          <w:rPr>
            <w:lang w:val="en-US"/>
          </w:rPr>
          <w:t xml:space="preserve">https://www.wired.co.uk/article/uk-exam-algorithm-results</w:t>
        </w:r>
      </w:hyperlink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Accessed 2026-01-24.</w:t>
      </w:r>
    </w:p>
    <w:bookmarkEnd w:id="82"/>
    <w:bookmarkStart w:id="84" w:name="app:repro"/>
    <w:p>
      <w:pPr>
        <w:pStyle w:val="Head1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10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Reproducibility and Revision Evidence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revision pre­serves the his­tor­i­cal sources and numer­i­cal assets in a checksum-indexed snapshot. A version inven­tory and work log are main­tained in the accom­pa­ny­ing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revisao_artigo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direc­tory. The ref­er­ence repos­i­tory is</w:t>
      </w:r>
      <w:r>
        <w:rPr>
          <w:sz w:val="19"/>
          <w:szCs w:val="19"/>
          <w:lang w:val="en-US"/>
        </w:rPr>
        <w:t xml:space="preserve"> </w:t>
      </w:r>
      <w:hyperlink r:id="rIdArticle37">
        <w:r>
          <w:rPr>
            <w:sz w:val="19"/>
            <w:szCs w:val="19"/>
            <w:lang w:val="en-US"/>
          </w:rPr>
          <w:t xml:space="preserve">https://github.com/rtales/compass-contestable-governance-artifacts</w:t>
        </w:r>
      </w:hyperlink>
      <w:r>
        <w:rPr>
          <w:sz w:val="19"/>
          <w:szCs w:val="19"/>
          <w:lang w:val="en-US"/>
        </w:rPr>
        <w:t xml:space="preserve">; local revised code and hashes, rather than the unmod­i­fied remote HEAD, identify the changes eval­u­ated here.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his­tor­i­cal packet runs used are ASSISTments, OULAD and syn­thetic snap­shots from 26 January 2026, all seed 42. Their full paths and SHA-256 digests appear in the com­pu­ta­tional revision report. No new fit of those his­tor­i­cal models is claimed.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b/>
          <w:bCs/>
          <w:sz w:val="19"/>
          <w:szCs w:val="19"/>
          <w:lang w:val="en-US"/>
        </w:rPr>
        <w:t xml:space="preserve">Rebuilding the analysis.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From the project root, the script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revisao_artigo/scripts/recalcular_evidencias.py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regen­er­ates com­pu­ta­tional reports, can­di­date tables, group-risk sum­maries, study aggre­gates and the English diag­nos­tic figure. It uses the pre­served case packets and, for the study, the author’s local response ZIP. The author con­firmed the original assign­ment mapping in this revision. Outputs are in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paper_assets/revised/</w:t>
      </w:r>
      <w:r>
        <w:rPr>
          <w:sz w:val="19"/>
          <w:szCs w:val="19"/>
          <w:lang w:val="en-US"/>
        </w:rPr>
        <w:t xml:space="preserve">. Individual response text is not copied to those outputs.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report records complete thresh­olds, capac­i­ties, IDs, counts and com­par­isons with his­tor­i­cal CSVs. Fixed-budget and full-grid results have separate domains. Script source and an envi­ron­ment lock accom­pany the revision. Application tests include a syn­thetic end-to-end run and cor­rup­tion checks; they do not sub­sti­tute for re-fitting real-data pre­dic­tors.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b/>
          <w:bCs/>
          <w:sz w:val="19"/>
          <w:szCs w:val="19"/>
          <w:lang w:val="en-US"/>
        </w:rPr>
        <w:t xml:space="preserve">Access lim­i­ta­tions.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Historical packet labels and audit groups are ret­ro­spec­tive eval­u­a­tion data. Participant responses remain local in this revision; sharing consent and insti­tu­tional rules must be checked before redis­tri­bu­tion. Aggregate counts and scripts are included. A com­pu­ta­tional repro­duc­tion can run without the study data and must report the study as skipped, never silently sub­sti­tute gen­er­ated par­tic­i­pants. The revised study analysis was ret­ro­spec­tive, not pre­reg­is­tered.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b/>
          <w:bCs/>
          <w:sz w:val="19"/>
          <w:szCs w:val="19"/>
          <w:lang w:val="en-US"/>
        </w:rPr>
        <w:t xml:space="preserve">Compilation and ver­i­fi­ca­tion.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The multi-file LaTeX project is compiled with Tectonic, with its release recorded in the revision tools inven­tory. Generated tables use unrounded metrics and round only for display. All rendered pages are inspected for clipping and broken ref­er­ences. Source snap­shots, check­sums, software versions and ver­i­fi­ca­tion records dis­tin­guish the his­tor­i­cal release from this cor­rected draft.</w:t>
      </w:r>
    </w:p>
    <w:bookmarkEnd w:id="84"/>
    <w:bookmarkStart w:id="85" w:name="app:implementation"/>
    <w:p>
      <w:pPr>
        <w:pStyle w:val="Head1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11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Implementation and Version-Specific Inventory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his­tor­i­cal release contains one scored run per dataset, metrics, metadata, decision briefs and case packets. Sweeps and illus­tra­tive appeal mate­ri­als exist in the paper project, and original N=16 responses are avail­able locally to the author. The previous state­ment that the release lacked sweeps and human eval­u­a­tion was incon­sis­tent with these mate­ri­als and has been removed. The study AIES N=18 is a dif­fer­ent version and is not used here.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revised appli­ca­tion is in the repos­i­tory direc­tory named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compass-con­testable-gov­er­nance-arti­facts</w:t>
      </w:r>
      <w:r>
        <w:rPr>
          <w:sz w:val="19"/>
          <w:szCs w:val="19"/>
          <w:lang w:val="en-US"/>
        </w:rPr>
        <w:t xml:space="preserve">. New runs persist policy content, a dataset-manifest copy, fitted-model bytes, separate configuration/model hashes, source-file hashes, selec­tion reports, can­di­date packets, computed artifact checks and an autho­riza­tion gate. A Git HEAD alone does not identify uncom­mit­ted source changes. Model snap­shots are hashed as opaque bytes; ver­i­fy­ing integrity does not require loading untrusted seri­al­ized code.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A feasible run may export autho­rized can­di­date deci­sions. Infeasible or insuf­fi­cient-evidence runs preserve eval­u­a­tion evidence and write a review-required record without an autho­rized export. They do not claim delivery to a human queue. Candidate metrics remain dis­tin­guish­able from the gate result.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No broad pre­dic­tive-baseline study, multi-seed model eval­u­a­tion, field deploy­ment or indi­vid­u­ally timed appeal-cost study is claimed. Historical outputs are pre­served; revision reports identify which values match and which pro­ce­dures changed.</w:t>
      </w:r>
    </w:p>
    <w:bookmarkEnd w:id="85"/>
    <w:bookmarkStart w:id="86" w:name="app:replication"/>
    <w:p>
      <w:pPr>
        <w:pStyle w:val="Head1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12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Prospective Early-Warning Blueprint: Not Evaluated Here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A future dropout-pre­ven­tion use would define a risk-positive outcome, such as Fail/Withdrawn, an inter­ven­tion horizon, features avail­able before that horizon, and ranking aligned to that objec­tive. It would also require temporal and student-aware splits, label audits and insti­tu­tion­ally jus­ti­fied sen­si­tive attributes. These choices differ from the imple­mented OULAD success target and descend­ing success-score ranking. The current utility values must not be reused as evidence for this proposed task.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Likewise, inter­ac­tion cor­rect­ness in ASSISTments is not equiv­a­lent to a per-student need-for-support label. Aggregating inter­ac­tions, select­ing an eligible pop­u­la­tion, spec­i­fy­ing the treat­ment and mea­sur­ing actual benefit require a separate eval­u­a­tion. Changing the target or removing features can require retrain­ing; changing an input value requires new infer­ence. Neither oper­a­tion is a fixed-score policy replay.</w:t>
      </w:r>
    </w:p>
    <w:bookmarkEnd w:id="86"/>
    <w:bookmarkStart w:id="90" w:name="app:datasets"/>
    <w:p>
      <w:pPr>
        <w:pStyle w:val="Head1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13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Datasets and Implemented Tasks</w:t>
      </w:r>
    </w:p>
    <w:bookmarkStart w:id="87" w:name="assistments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13.1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ASSISTments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2009–2010 Skill Builder release provides student–problem inter­ac­tions [10]. The imple­mented target is response cor­rect­ness (positive=1). School-ID parity is a syn­thetic group for testing con­straints, not a demo­graphic or pro­tected attribute.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pro­ces­sor reads the CSV with a deter­min­is­tic encoding fallback, replaces decoding errors and skips mal­formed lines. Numeric missing values are filled with zero, includ­ing skill and response-time fields; the imple­men­ta­tion does not drop rows for those missing fields. Correctness is coerced to an integer and clipped to zero/one; missing labels become zero. These choices can affect mea­sure­ment validity and should be audited before deploy­ment.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Features include bounded attempt and hint counts, log-trans­formed response and overlap times, practice oppor­tu­nity, an original-item indi­ca­tor, skill-ID remain­der, and fixed one-hot cat­e­gories for tutor mode, answer type and task type. School ID itself is excluded from the feature vector, but that does not estab­lish absence of proxies.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runner applies a seed-42 shuffled row split (80/20); the audited output has 105107 cases. Features can describe the inter­ac­tion being pre­dicted. This is not a tem­po­rally val­i­dated early-warning task. The his­tor­i­cal packets lack student-cluster IDs, so neither split inde­pen­dence nor cluster-robust inter­vals are estab­lished.</w:t>
      </w:r>
    </w:p>
    <w:bookmarkEnd w:id="87"/>
    <w:bookmarkStart w:id="88" w:name="oulad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13.2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OULAD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OULAD provides anonymized student/course infor­ma­tion [12]. The pro­ces­sor uses the student-infor­ma­tion table. Positive means Pass or Distinction; Fail and Withdrawn are negative. Gender F/M defines the binary audit group, with other or missing gender excluded.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Categorical inputs are module, pre­sen­ta­tion, region, edu­ca­tion, depri­va­tion band, age band and dis­abil­ity; numer­i­cal inputs are previous attempts and studied credits. Gender and final outcome are excluded from the score features. This is a success-pre­dic­tion bench­mark; it does not use a val­i­dated early-inter­ven­tion time window or estimate treat­ment benefit. The shuffled 80/20 row split yields 6519 audited cases. Repeated student/course records are not claimed to be sep­a­rated by student.</w:t>
      </w:r>
    </w:p>
    <w:bookmarkEnd w:id="88"/>
    <w:bookmarkStart w:id="89" w:name="synthetic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13.3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Synthetic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The syn­thetic audit has 1000 held-out cases and a binary gen­er­ated group. Its purpose is to exercise capacity, absten­tion, infea­si­bil­ity and evidence checks under a con­trolled label process. It is not evidence of field validity. Recipe inputs, hashes and exact group counts are included in the com­pu­ta­tional revision report.</w:t>
      </w:r>
    </w:p>
    <w:bookmarkEnd w:id="89"/>
    <w:bookmarkEnd w:id="90"/>
    <w:bookmarkStart w:id="95" w:name="app:artifact-schema"/>
    <w:p>
      <w:pPr>
        <w:pStyle w:val="Head1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14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Artifact Contract and Replay Protocol</w:t>
      </w:r>
    </w:p>
    <w:bookmarkStart w:id="91" w:name="minimum-fixed-score-contract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14.1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Minimum fixed-score contract</w:t>
      </w:r>
    </w:p>
    <w:p>
      <w:pPr>
        <w:pStyle w:val="Para"/>
        <w:widowControl w:val="1"/>
        <w:spacing w:before="0" w:after="0" w:line="240" w:lineRule="atLeast"/>
        <w:rPr>
          <w:sz w:val="19"/>
        </w:rPr>
      </w:pPr>
      <w:r>
        <w:rPr>
          <w:sz w:val="19"/>
          <w:szCs w:val="19"/>
          <w:lang w:val="en-US"/>
        </w:rPr>
        <w:t xml:space="preserve">Schema 2.0 records a per­sis­tent case ID, finite score, entropy in bits, clipping con­ven­tion, decision state, sup­ported replay scope, policy reference/hash, dataset-manifest hash, fitted-model hash and packet hash. Policy content records capacity, score direc­tion, allocation/screening mode, global/Top-</w:t>
      </w:r>
      <m:oMath>
        <m:r>
          <w:rPr>
            <w:rFonts w:ascii="DejaVu Math TeX Gyre" w:hAnsi="DejaVu Math TeX Gyre"/>
            <w:sz w:val="19"/>
            <w:szCs w:val="19"/>
            <w:lang w:val="en-US"/>
          </w:rPr>
          <m:t>K</m:t>
        </m:r>
      </m:oMath>
      <w:r>
        <w:rPr>
          <w:sz w:val="19"/>
          <w:szCs w:val="19"/>
          <w:lang w:val="en-US"/>
        </w:rPr>
        <w:t xml:space="preserve">-only absten­tion, threshold/unit and selec­tion criteria/tolerances. Hashes alone are not sub­sti­tutes for acces­si­ble policy content. Labels and audit groups are eval­u­a­tion fields, separate from decision inputs.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Historical packets have a smaller unver­sioned schema. Their entropy is checked against the known bit-based imple­men­ta­tion before reanal­y­sis; a legacy con­fig­u­ra­tion digest is not described as a fitted-model digest. The revision does not retroac­tively claim that old packets imple­mented schema 2.0.</w:t>
      </w:r>
    </w:p>
    <w:bookmarkEnd w:id="91"/>
    <w:bookmarkStart w:id="92" w:name="reconstruction-and-validation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14.2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Reconstruction and validation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Replay reads the same fixed scores and case IDs, applies the declared rule and compares every emitted state with the original. The revised verifier addi­tion­ally checks content hashes, schema/unit fields, policy avail­abil­ity, manifest bytes and model-snapshot bytes. Missing, altered or incom­pat­i­ble evidence causes failure, not a perfect score by default. Tests include score ties, reordered inputs, boundary thresh­olds, empty feasible sets and cor­rupted packets.</w:t>
      </w:r>
    </w:p>
    <w:bookmarkEnd w:id="92"/>
    <w:bookmarkStart w:id="93" w:name="scope-of-appeal-materials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14.3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Scope of appeal materials</w:t>
      </w:r>
    </w:p>
    <w:p>
      <w:pPr>
        <w:pStyle w:val="Para"/>
        <w:widowControl w:val="1"/>
        <w:spacing w:before="0" w:after="0" w:line="215" w:lineRule="exact"/>
        <w:rPr>
          <w:sz w:val="19"/>
        </w:rPr>
      </w:pPr>
      <w:r>
        <w:rPr>
          <w:sz w:val="19"/>
          <w:szCs w:val="19"/>
          <w:lang w:val="en-US"/>
        </w:rPr>
        <w:t xml:space="preserve">Medical-force-inclu­sion rules require the appli­ca­ble rule, its version, the relevant flag and excep­tion prece­dence. These are absent from the minimum score-based contract; no executed medical-excep­tion replay is claimed. Likewise, income cor­rec­tions or feature removal require updated inputs and re-scoring, possibly retrain­ing. The study’s evidence strings are scenario mate­ri­als rather than logs proving these oper­a­tions were executed. Restricted evidence may remain outside public bundles, but its avail­abil­ity and access con­di­tions must be doc­u­mented.</w:t>
      </w:r>
    </w:p>
    <w:bookmarkEnd w:id="93"/>
    <w:bookmarkStart w:id="94" w:name="app:uncertainty"/>
    <w:p>
      <w:pPr>
        <w:pStyle w:val="Head2"/>
        <w:keepNext/>
        <w:keepLines/>
        <w:widowControl w:val="1"/>
        <w:spacing w:before="120" w:after="50" w:line="230" w:lineRule="atLeast"/>
        <w:rPr>
          <w:sz w:val="21"/>
        </w:rPr>
      </w:pPr>
      <w:r>
        <w:rPr>
          <w:sz w:val="21"/>
          <w:szCs w:val="21"/>
          <w:lang w:val="en-US"/>
        </w:rPr>
        <w:t xml:space="preserve">14.4</w:t>
      </w:r>
      <w:r>
        <w:rPr>
          <w:sz w:val="21"/>
          <w:szCs w:val="21"/>
          <w:lang w:val="en-US"/>
        </w:rPr>
        <w:t xml:space="preserve">  </w:t>
      </w:r>
      <w:r>
        <w:rPr>
          <w:sz w:val="21"/>
          <w:szCs w:val="21"/>
          <w:lang w:val="en-US"/>
        </w:rPr>
        <w:t xml:space="preserve">Uncertainty analysis</w:t>
      </w:r>
    </w:p>
    <w:p>
      <w:pPr>
        <w:pStyle w:val="Para"/>
        <w:widowControl w:val="1"/>
        <w:spacing w:before="0" w:after="0" w:line="240" w:lineRule="atLeast"/>
        <w:rPr>
          <w:sz w:val="19"/>
        </w:rPr>
      </w:pPr>
      <w:r>
        <w:rPr>
          <w:sz w:val="19"/>
          <w:szCs w:val="19"/>
          <w:lang w:val="en-US"/>
        </w:rPr>
        <w:t xml:space="preserve">ECE uses ten equal-width prob­a­bil­ity bins, includ­ing prob­a­bil­ity one in the final bin. Spearman entropy/absolute-error cor­re­la­tion uses average ranks for ties. Temperature stress uses logits scaled by</w:t>
      </w:r>
      <w:r>
        <w:rPr>
          <w:sz w:val="19"/>
          <w:szCs w:val="19"/>
          <w:lang w:val="en-US"/>
        </w:rPr>
        <w:t xml:space="preserve"> </w:t>
      </w:r>
      <m:oMath>
        <m:r>
          <w:rPr>
            <w:rFonts w:ascii="DejaVu Math TeX Gyre" w:hAnsi="DejaVu Math TeX Gyre"/>
            <w:sz w:val="19"/>
            <w:szCs w:val="19"/>
            <w:lang w:val="en-US"/>
          </w:rPr>
          <m:t>T</m:t>
        </m:r>
        <m:r>
          <m:rPr>
            <m:sty m:val="p"/>
          </m:rPr>
          <w:rPr>
            <w:rFonts w:ascii="DejaVu Math TeX Gyre" w:hAnsi="DejaVu Math TeX Gyre"/>
            <w:sz w:val="19"/>
            <w:szCs w:val="19"/>
            <w:lang w:val="en-US"/>
          </w:rPr>
          <m:t>∈</m:t>
        </m:r>
        <m:r>
          <m:rPr>
            <m:sty m:val="p"/>
          </m:rPr>
          <w:rPr>
            <w:rFonts w:ascii="DejaVu Math TeX Gyre" w:hAnsi="DejaVu Math TeX Gyre"/>
            <w:sz w:val="19"/>
            <w:szCs w:val="19"/>
            <w:lang w:val="en-US"/>
          </w:rPr>
          <m:t>{</m:t>
        </m:r>
        <m:r>
          <w:rPr>
            <w:rFonts w:ascii="DejaVu Math TeX Gyre" w:hAnsi="DejaVu Math TeX Gyre"/>
            <w:sz w:val="19"/>
            <w:szCs w:val="19"/>
            <w:lang w:val="en-US"/>
          </w:rPr>
          <m:t>0.5</m:t>
        </m:r>
        <m:r>
          <m:rPr>
            <m:sty m:val="p"/>
          </m:rPr>
          <w:rPr>
            <w:rFonts w:ascii="DejaVu Math TeX Gyre" w:hAnsi="DejaVu Math TeX Gyre"/>
            <w:sz w:val="19"/>
            <w:szCs w:val="19"/>
            <w:lang w:val="en-US"/>
          </w:rPr>
          <m:t>,</m:t>
        </m:r>
        <m:r>
          <w:rPr>
            <w:rFonts w:ascii="DejaVu Math TeX Gyre" w:hAnsi="DejaVu Math TeX Gyre"/>
            <w:sz w:val="19"/>
            <w:szCs w:val="19"/>
            <w:lang w:val="en-US"/>
          </w:rPr>
          <m:t>2</m:t>
        </m:r>
        <m:r>
          <m:rPr>
            <m:sty m:val="p"/>
          </m:rPr>
          <w:rPr>
            <w:rFonts w:ascii="DejaVu Math TeX Gyre" w:hAnsi="DejaVu Math TeX Gyre"/>
            <w:sz w:val="19"/>
            <w:szCs w:val="19"/>
            <w:lang w:val="en-US"/>
          </w:rPr>
          <m:t>}</m:t>
        </m:r>
      </m:oMath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and recom­putes entropy in bits. Conditional per­centile inter­vals use 200 row-boot­strap repli­cates, seed 42. Per-group selec­tive risk is the binary clas­si­fi­ca­tion error among entropy-eligible cases, not pre­ci­sion among Top-</w:t>
      </w:r>
      <m:oMath>
        <m:r>
          <w:rPr>
            <w:rFonts w:ascii="DejaVu Math TeX Gyre" w:hAnsi="DejaVu Math TeX Gyre"/>
            <w:sz w:val="19"/>
            <w:szCs w:val="19"/>
            <w:lang w:val="en-US"/>
          </w:rPr>
          <m:t>K</m:t>
        </m:r>
      </m:oMath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en-US"/>
        </w:rPr>
        <w:t xml:space="preserve">selec­tions; reports give error counts, denom­i­na­tors and descrip­tive Wilson inter­vals. Interaction packets do not preserve student cluster IDs, so these row-based inter­vals do not estab­lish cluster-robust pop­u­la­tion uncer­tainty.</w:t>
      </w:r>
    </w:p>
    <w:bookmarkEnd w:id="94"/>
    <w:bookmarkEnd w:id="95"/>
    <w:p>
      <w:pPr>
        <w:spacing w:before="0" w:after="0" w:line="20" w:lineRule="exact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2" w:space="480"/>
          <w:titlePg/>
          <w:docGrid w:linePitch="360"/>
        </w:sectPr>
      </w:pPr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06A7E7" w14:textId="77777777" w:rsidR="00770424" w:rsidRDefault="00770424">
      <w:r>
        <w:separator/>
      </w:r>
    </w:p>
  </w:endnote>
  <w:endnote w:type="continuationSeparator" w:id="0">
    <w:p w14:paraId="1AF87C49" w14:textId="77777777" w:rsidR="00770424" w:rsidRDefault="00770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nux Libertine">
    <w:altName w:val="Times New Roman"/>
    <w:panose1 w:val="020B0604020202020204"/>
    <w:charset w:val="00"/>
    <w:family w:val="auto"/>
    <w:pitch w:val="variable"/>
    <w:sig w:usb0="E0000AFF" w:usb1="5200E5FB" w:usb2="02000020" w:usb3="00000000" w:csb0="000001BF" w:csb1="00000000"/>
    <w:embedRegular r:id="rIdFont0" w:fontKey="{19CD050D-C209-59E5-B265-09B7E7D8C269}"/>
    <w:embedBold r:id="rIdFont1" w:fontKey="{78330AC8-1BE9-5E5C-A8CF-BD902AA4C7FA}"/>
    <w:embedItalic r:id="rIdFont2" w:fontKey="{92DFBF07-B8AB-57C4-ADD5-B86F2A7697BE}"/>
    <w:embedBoldItalic r:id="rIdFont3" w:fontKey="{CC623849-9733-55D2-9FF3-FD3C48C48B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panose1 w:val="020B0604020202020204"/>
    <w:charset w:val="00"/>
    <w:family w:val="auto"/>
    <w:pitch w:val="variable"/>
    <w:sig w:usb0="E0000AFF" w:usb1="5000E5FB" w:usb2="00000020" w:usb3="00000000" w:csb0="000001BF" w:csb1="00000000"/>
    <w:embedRegular r:id="rIdFont4" w:fontKey="{FAD1C62B-7040-5E46-8BC9-F4A4BAA58950}"/>
    <w:embedBold r:id="rIdFont5" w:fontKey="{8A486BF6-070B-56CC-9DC4-49C8A68A3A35}"/>
    <w:embedItalic r:id="rIdFont6" w:fontKey="{CEBEA692-9A3E-5F39-B308-0D725F12B31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Math TeX Gyre">
    <w:embedRegular r:id="rIdFont7" w:fontKey="{EBAB1A53-F820-5EA2-AAD9-7844D82670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3A9150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26E566E8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  <w:p>
    <w:pPr>
      <w:jc w:val="center"/>
      <w:spacing w:before="0" w:after="0"/>
    </w:pPr>
    <w:fldSimple w:instr=" PAGE ">
      <w:r>
        <w:rPr>
          <w:sz w:val="16"/>
        </w:rPr>
        <w:t xml:space="preserve"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19490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  <w:p>
    <w:pPr>
      <w:jc w:val="center"/>
      <w:spacing w:before="0" w:after="0"/>
    </w:pPr>
    <w:fldSimple w:instr=" PAGE ">
      <w:r>
        <w:rPr>
          <w:sz w:val="16"/>
        </w:rPr>
        <w:t xml:space="preserve"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14C8F" w14:textId="77777777" w:rsidR="00770424" w:rsidRDefault="00770424">
      <w:r>
        <w:separator/>
      </w:r>
    </w:p>
  </w:footnote>
  <w:footnote w:type="continuationSeparator" w:id="0">
    <w:p w14:paraId="1203F593" w14:textId="77777777" w:rsidR="00770424" w:rsidRDefault="00770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1E14AFCA" w14:textId="77777777" w:rsidTr="00586A35">
      <w:tc>
        <w:tcPr>
          <w:tcW w:w="2500" w:type="pct"/>
          <w:vAlign w:val="center"/>
        </w:tcPr>
        <w:p w14:paraId="28D3A93D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Governing by Artifacts</w:t>
          </w:r>
        </w:p>
      </w:tc>
      <w:tc>
        <w:tcPr>
          <w:tcW w:w="2500" w:type="pct"/>
          <w:vAlign w:val="center"/>
        </w:tcPr>
        <w:p w14:paraId="5B105EE0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T. Matos and J. Macedo</w:t>
          </w:r>
        </w:p>
      </w:tc>
    </w:tr>
  </w:tbl>
  <w:p w14:paraId="1AA887E4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5E676AC0" w14:textId="77777777" w:rsidTr="00586A35">
      <w:tc>
        <w:tcPr>
          <w:tcW w:w="2500" w:type="pct"/>
          <w:vAlign w:val="center"/>
        </w:tcPr>
        <w:p w14:paraId="03FBDC68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Governing by Artifacts</w:t>
          </w:r>
        </w:p>
      </w:tc>
      <w:tc>
        <w:tcPr>
          <w:tcW w:w="2500" w:type="pct"/>
          <w:vAlign w:val="center"/>
        </w:tcPr>
        <w:p w14:paraId="70433C26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T. Matos and J. Macedo</w:t>
          </w:r>
        </w:p>
      </w:tc>
    </w:tr>
  </w:tbl>
  <w:p w14:paraId="407725C9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16" w15:restartNumberingAfterBreak="0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>
      <w:start w:val="1"/>
      <w:numFmt w:val="lowerLetter"/>
      <w:lvlText w:val="%2."/>
      <w:lvlJc w:val="left"/>
      <w:pPr>
        <w:ind w:left="2200" w:hanging="360"/>
      </w:pPr>
    </w:lvl>
    <w:lvl w:ilvl="2" w:tplc="0409001B">
      <w:start w:val="1"/>
      <w:numFmt w:val="lowerRoman"/>
      <w:lvlText w:val="%3."/>
      <w:lvlJc w:val="right"/>
      <w:pPr>
        <w:ind w:left="2920" w:hanging="180"/>
      </w:pPr>
    </w:lvl>
    <w:lvl w:ilvl="3" w:tplc="0409000F">
      <w:start w:val="1"/>
      <w:numFmt w:val="decimal"/>
      <w:lvlText w:val="%4."/>
      <w:lvlJc w:val="left"/>
      <w:pPr>
        <w:ind w:left="3640" w:hanging="360"/>
      </w:pPr>
    </w:lvl>
    <w:lvl w:ilvl="4" w:tplc="04090019">
      <w:start w:val="1"/>
      <w:numFmt w:val="lowerLetter"/>
      <w:lvlText w:val="%5."/>
      <w:lvlJc w:val="left"/>
      <w:pPr>
        <w:ind w:left="4360" w:hanging="360"/>
      </w:pPr>
    </w:lvl>
    <w:lvl w:ilvl="5" w:tplc="0409001B">
      <w:start w:val="1"/>
      <w:numFmt w:val="lowerRoman"/>
      <w:lvlText w:val="%6."/>
      <w:lvlJc w:val="right"/>
      <w:pPr>
        <w:ind w:left="5080" w:hanging="180"/>
      </w:pPr>
    </w:lvl>
    <w:lvl w:ilvl="6" w:tplc="0409000F">
      <w:start w:val="1"/>
      <w:numFmt w:val="decimal"/>
      <w:lvlText w:val="%7."/>
      <w:lvlJc w:val="left"/>
      <w:pPr>
        <w:ind w:left="5800" w:hanging="360"/>
      </w:pPr>
    </w:lvl>
    <w:lvl w:ilvl="7" w:tplc="04090019">
      <w:start w:val="1"/>
      <w:numFmt w:val="lowerLetter"/>
      <w:lvlText w:val="%8."/>
      <w:lvlJc w:val="left"/>
      <w:pPr>
        <w:ind w:left="6520" w:hanging="360"/>
      </w:pPr>
    </w:lvl>
    <w:lvl w:ilvl="8" w:tplc="0409001B">
      <w:start w:val="1"/>
      <w:numFmt w:val="lowerRoman"/>
      <w:lvlText w:val="%9."/>
      <w:lvlJc w:val="right"/>
      <w:pPr>
        <w:ind w:left="7240" w:hanging="180"/>
      </w:pPr>
    </w:lvl>
  </w:abstractNum>
  <w:abstractNum w:abstractNumId="19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2" w15:restartNumberingAfterBreak="0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6" w15:restartNumberingAfterBreak="0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9" w15:restartNumberingAfterBreak="0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10"/>
  </w:num>
  <w:num w:numId="4">
    <w:abstractNumId w:val="27"/>
  </w:num>
  <w:num w:numId="5">
    <w:abstractNumId w:val="19"/>
  </w:num>
  <w:num w:numId="6">
    <w:abstractNumId w:val="15"/>
  </w:num>
  <w:num w:numId="7">
    <w:abstractNumId w:val="25"/>
  </w:num>
  <w:num w:numId="8">
    <w:abstractNumId w:val="21"/>
  </w:num>
  <w:num w:numId="9">
    <w:abstractNumId w:val="24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0"/>
  </w:num>
  <w:num w:numId="21">
    <w:abstractNumId w:val="23"/>
  </w:num>
  <w:num w:numId="22">
    <w:abstractNumId w:val="29"/>
  </w:num>
  <w:num w:numId="23">
    <w:abstractNumId w:val="13"/>
  </w:num>
  <w:num w:numId="24">
    <w:abstractNumId w:val="26"/>
  </w:num>
  <w:num w:numId="25">
    <w:abstractNumId w:val="22"/>
  </w:num>
  <w:num w:numId="26">
    <w:abstractNumId w:val="16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</w:num>
  <w:num w:numId="30">
    <w:abstractNumId w:val="12"/>
  </w:num>
  <w:num w:numId="31">
    <w:abstractNumId w:val="11"/>
  </w:num>
  <w:numIdMacAtCleanup w:val="22"/>
  <w:abstractNum w:abstractNumId="200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00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02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2000">
    <w:abstractNumId w:val="2000"/>
  </w:num>
  <w:num w:numId="2001">
    <w:abstractNumId w:val="2001"/>
  </w:num>
  <w:num w:numId="2002">
    <w:abstractNumId w:val="20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linkStyles/>
  <w:defaultTabStop w:val="708"/>
  <w:hyphenationZone w:val="18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C050B"/>
    <w:rsid w:val="000E118B"/>
    <w:rsid w:val="000E278E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472B"/>
    <w:rsid w:val="00694749"/>
    <w:rsid w:val="006978B2"/>
    <w:rsid w:val="006A22F6"/>
    <w:rsid w:val="006A29E8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49CB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70424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C57E7"/>
    <w:rsid w:val="007D3C28"/>
    <w:rsid w:val="007E0B4F"/>
    <w:rsid w:val="007E7648"/>
    <w:rsid w:val="007F2D1D"/>
    <w:rsid w:val="007F6FA4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F3D6B"/>
    <w:rsid w:val="00C03DCA"/>
    <w:rsid w:val="00C06212"/>
    <w:rsid w:val="00C1142C"/>
    <w:rsid w:val="00C14A4F"/>
    <w:rsid w:val="00C32613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112E"/>
    <w:rsid w:val="00DC1C49"/>
    <w:rsid w:val="00DC4B20"/>
    <w:rsid w:val="00DC4FC9"/>
    <w:rsid w:val="00DD476E"/>
    <w:rsid w:val="00DD5335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83192"/>
    <w:rsid w:val="00E834D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3DDE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8D3D05"/>
  <w15:docId w15:val="{7BB9D37B-BE15-4322-8C13-F9625219ED75}"/>
  <w:embedTrueTypeFonts/>
  <w:embedSystemFonts/>
  <w:updateFields w:val="true"/>
  <w:autoHyphenation w:val="1"/>
  <w:consecutiveHyphenLimit w:val="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7F6FA4"/>
    <w:pPr>
      <w:spacing w:line="264" w:lineRule="auto"/>
      <w:jc w:val="both"/>
    </w:pPr>
    <w:rPr>
      <w:rFonts w:ascii="Linux Libertine" w:eastAsiaTheme="minorHAnsi" w:hAnsi="Linux Libertine" w:cstheme="minorBidi"/>
      <w:szCs w:val="22"/>
      <w:lang w:val="en-US"/>
      <w14:ligatures w14:val="standard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7F6FA4"/>
    <w:pPr>
      <w:spacing w:line="264" w:lineRule="auto"/>
      <w:jc w:val="both"/>
    </w:pPr>
    <w:rPr>
      <w:rFonts w:ascii="Linux Libertine" w:eastAsiaTheme="minorHAnsi" w:hAnsi="Linux Libertine" w:cstheme="minorBidi"/>
      <w:szCs w:val="22"/>
      <w:lang w:val="en-US"/>
      <w14:ligatures w14:val="standard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email@email.com" TargetMode="External"/><Relationship Id="rId18" Type="http://schemas.openxmlformats.org/officeDocument/2006/relationships/image" Target="media/image2.jp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wmf"/><Relationship Id="rId10" Type="http://schemas.openxmlformats.org/officeDocument/2006/relationships/header" Target="header2.xml"/><Relationship Id="rId19" Type="http://schemas.openxmlformats.org/officeDocument/2006/relationships/hyperlink" Target="http://dx.doi.org/10.1000/0-000-00000-0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www.acm.org/publications/proceedings-template" TargetMode="External"/><Relationship Id="rIdArticle22" Type="http://schemas.openxmlformats.org/officeDocument/2006/relationships/image" Target="media/article_rId37.png"/><Relationship Id="rIdArticle23" Type="http://schemas.openxmlformats.org/officeDocument/2006/relationships/hyperlink" Target="https://arxiv.org/abs/1811.05577" TargetMode="External"/><Relationship Id="rIdArticle24" Type="http://schemas.openxmlformats.org/officeDocument/2006/relationships/hyperlink" Target="https://digital-strategy.ec.europa.eu/en/library/ethics-guidelines-trustworthy-ai" TargetMode="External"/><Relationship Id="rIdArticle25" Type="http://schemas.openxmlformats.org/officeDocument/2006/relationships/hyperlink" Target="https://digitalcommons.law.uw.edu/wlr/vol89/iss1/2/" TargetMode="External"/><Relationship Id="rIdArticle26" Type="http://schemas.openxmlformats.org/officeDocument/2006/relationships/hyperlink" Target="https://doi.org/10.1007/s10676-018-9450-z" TargetMode="External"/><Relationship Id="rIdArticle27" Type="http://schemas.openxmlformats.org/officeDocument/2006/relationships/hyperlink" Target="https://doi.org/10.1007/s11023-022-09611-z" TargetMode="External"/><Relationship Id="rIdArticle28" Type="http://schemas.openxmlformats.org/officeDocument/2006/relationships/hyperlink" Target="https://doi.org/10.1007/s11257-009-9063-7" TargetMode="External"/><Relationship Id="rIdArticle29" Type="http://schemas.openxmlformats.org/officeDocument/2006/relationships/hyperlink" Target="https://doi.org/10.1007/s40593-021-00285-9" TargetMode="External"/><Relationship Id="rIdArticle30" Type="http://schemas.openxmlformats.org/officeDocument/2006/relationships/hyperlink" Target="https://doi.org/10.1038/s42256-019-0114-4" TargetMode="External"/><Relationship Id="rIdArticle31" Type="http://schemas.openxmlformats.org/officeDocument/2006/relationships/hyperlink" Target="https://doi.org/10.1038/sdata.2017.171" TargetMode="External"/><Relationship Id="rIdArticle32" Type="http://schemas.openxmlformats.org/officeDocument/2006/relationships/hyperlink" Target="https://doi.org/10.1145/3287560.3287598" TargetMode="External"/><Relationship Id="rIdArticle33" Type="http://schemas.openxmlformats.org/officeDocument/2006/relationships/hyperlink" Target="https://doi.org/10.1145/3351095.3372833" TargetMode="External"/><Relationship Id="rIdArticle34" Type="http://schemas.openxmlformats.org/officeDocument/2006/relationships/hyperlink" Target="https://doi.org/10.1145/3442188.3445935" TargetMode="External"/><Relationship Id="rIdArticle35" Type="http://schemas.openxmlformats.org/officeDocument/2006/relationships/hyperlink" Target="https://doi.org/10.5555/3648699.3648956" TargetMode="External"/><Relationship Id="rIdArticle36" Type="http://schemas.openxmlformats.org/officeDocument/2006/relationships/hyperlink" Target="https://doi.org/10.6028/NIST.AI.100-1" TargetMode="External"/><Relationship Id="rIdArticle37" Type="http://schemas.openxmlformats.org/officeDocument/2006/relationships/hyperlink" Target="https://github.com/rtales/compass-contestable-governance-artifacts" TargetMode="External"/><Relationship Id="rIdArticle38" Type="http://schemas.openxmlformats.org/officeDocument/2006/relationships/hyperlink" Target="https://legalinstruments.oecd.org/en/instruments/oecd-legal-0449" TargetMode="External"/><Relationship Id="rIdArticle39" Type="http://schemas.openxmlformats.org/officeDocument/2006/relationships/hyperlink" Target="https://proceedings.mlr.press/v97/ustun19a.html" TargetMode="External"/><Relationship Id="rIdArticle40" Type="http://schemas.openxmlformats.org/officeDocument/2006/relationships/hyperlink" Target="https://themarkup.org/machine-learning/2023/04/27/false-alarm-how-wisconsin-uses-race-and-income-to-label-students-high-risk" TargetMode="External"/><Relationship Id="rIdArticle41" Type="http://schemas.openxmlformats.org/officeDocument/2006/relationships/hyperlink" Target="https://uitspraken.rechtspraak.nl/details?id=ECLI%3ANL%3ARBDHA%3A2020%3A1878" TargetMode="External"/><Relationship Id="rIdArticle42" Type="http://schemas.openxmlformats.org/officeDocument/2006/relationships/hyperlink" Target="https://unesdoc.unesco.org/ark:/48223/pf0000380455" TargetMode="External"/><Relationship Id="rIdArticle43" Type="http://schemas.openxmlformats.org/officeDocument/2006/relationships/hyperlink" Target="https://www.wired.co.uk/article/uk-exam-algorithm-results" TargetMode="External"/></Relationships>
</file>

<file path=word/_rels/fontTable.xml.rels><?xml version='1.0' encoding='UTF-8' standalone='yes'?>
<Relationships xmlns="http://schemas.openxmlformats.org/package/2006/relationships"><Relationship Id="rIdFont0" Type="http://schemas.openxmlformats.org/officeDocument/2006/relationships/font" Target="fonts/acm_0.odttf"/><Relationship Id="rIdFont1" Type="http://schemas.openxmlformats.org/officeDocument/2006/relationships/font" Target="fonts/acm_1.odttf"/><Relationship Id="rIdFont2" Type="http://schemas.openxmlformats.org/officeDocument/2006/relationships/font" Target="fonts/acm_2.odttf"/><Relationship Id="rIdFont3" Type="http://schemas.openxmlformats.org/officeDocument/2006/relationships/font" Target="fonts/acm_3.odttf"/><Relationship Id="rIdFont4" Type="http://schemas.openxmlformats.org/officeDocument/2006/relationships/font" Target="fonts/acm_4.odttf"/><Relationship Id="rIdFont5" Type="http://schemas.openxmlformats.org/officeDocument/2006/relationships/font" Target="fonts/acm_5.odttf"/><Relationship Id="rIdFont6" Type="http://schemas.openxmlformats.org/officeDocument/2006/relationships/font" Target="fonts/acm_6.odttf"/><Relationship Id="rIdFont7" Type="http://schemas.openxmlformats.org/officeDocument/2006/relationships/font" Target="fonts/acm_7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orkflow version="v.1.13">
  </Workflow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5DBA2-DCF6-46BF-858B-9A8CC8161B4D}">
  <ds:schemaRefs/>
</ds:datastoreItem>
</file>

<file path=customXml/itemProps2.xml><?xml version="1.0" encoding="utf-8"?>
<ds:datastoreItem xmlns:ds="http://schemas.openxmlformats.org/officeDocument/2006/customXml" ds:itemID="{A75C74A9-86AF-9F4D-92AC-C826F1CF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C:\poweredit-8-02-2018\framework\Templates\ACM.dotm</Template>
  <TotalTime>31</TotalTime>
  <Pages>2</Pages>
  <Words>1248</Words>
  <Characters>7116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8348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Governing by Artifacts: An Auditable Constraint-Based Framework for Contestable Educational Decision Systems</dc:title>
  <dc:subject>• Insert CCS text here • Insert CCS text here   • Insert CCS text here</dc:subject>
  <dc:creator>Tales Matos and Jose Macedo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/>
  <cp:revision>9</cp:revision>
  <cp:lastPrinted>2018-05-22T11:24:00Z</cp:lastPrinted>
  <dcterms:created xsi:type="dcterms:W3CDTF">2018-05-22T09:05:00Z</dcterms:created>
  <dcterms:modified xsi:type="dcterms:W3CDTF">2019-05-30T13:56:00Z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