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AC04" w14:textId="6D0EA1C7" w:rsidR="00396A9A" w:rsidRDefault="00396A9A" w:rsidP="00396A9A">
      <w:pPr>
        <w:jc w:val="center"/>
      </w:pPr>
      <w:r>
        <w:rPr>
          <w:noProof/>
        </w:rPr>
        <w:drawing>
          <wp:inline distT="0" distB="0" distL="0" distR="0" wp14:anchorId="6561441B" wp14:editId="5F7EA08A">
            <wp:extent cx="4009814" cy="2232387"/>
            <wp:effectExtent l="0" t="0" r="3810" b="3175"/>
            <wp:docPr id="2062497645" name="Picture 1" descr="A blue glowing circ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97645" name="Picture 1" descr="A blue glowing circle with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437" cy="226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87FE" w14:textId="77777777" w:rsidR="00A2131F" w:rsidRDefault="00A2131F" w:rsidP="00A2131F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52F13312" w14:textId="4919BB9E" w:rsidR="00CC196C" w:rsidRPr="00A2131F" w:rsidRDefault="00CC196C" w:rsidP="00A2131F">
      <w:pPr>
        <w:rPr>
          <w:rFonts w:cs="Times New Roman"/>
          <w:b/>
          <w:bCs/>
          <w:sz w:val="22"/>
          <w:szCs w:val="22"/>
        </w:rPr>
      </w:pPr>
      <w:r w:rsidRPr="00CC196C">
        <w:rPr>
          <w:b/>
          <w:bCs/>
        </w:rPr>
        <w:t>Background</w:t>
      </w:r>
    </w:p>
    <w:p w14:paraId="645824C8" w14:textId="1A4FA219" w:rsidR="00CC196C" w:rsidRDefault="00396A9A" w:rsidP="00CC196C">
      <w:pPr>
        <w:ind w:left="720"/>
        <w:rPr>
          <w:b/>
          <w:bCs/>
        </w:rPr>
      </w:pPr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Studies show patients receiving comprehensive education have shorter hospital stays, better pain management, and higher satisfaction than those without education </w:t>
      </w:r>
      <w:hyperlink r:id="rId8" w:tgtFrame="_blank" w:history="1">
        <w:proofErr w:type="spellStart"/>
        <w:r w:rsidRPr="00396A9A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Engagedmd</w:t>
        </w:r>
        <w:proofErr w:type="spellEnd"/>
      </w:hyperlink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. One recent study found patient revisit rates dropped from 53% to 41% after implementing educational intervention </w:t>
      </w:r>
      <w:hyperlink r:id="rId9" w:tgtFrame="_blank" w:history="1">
        <w:r w:rsidRPr="00396A9A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PubMed Central</w:t>
        </w:r>
      </w:hyperlink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. Low health literacy costs the U.S. healthcare system substantially, with health costs four times higher for those with </w:t>
      </w:r>
      <w:proofErr w:type="gramStart"/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low </w:t>
      </w:r>
      <w:r w:rsidR="00CC196C" w:rsidRP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health</w:t>
      </w:r>
      <w:proofErr w:type="gramEnd"/>
      <w:r w:rsidR="00CC196C" w:rsidRP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literacy.</w:t>
      </w:r>
    </w:p>
    <w:p w14:paraId="248804EB" w14:textId="67733158" w:rsidR="00396A9A" w:rsidRPr="00396A9A" w:rsidRDefault="00CC196C" w:rsidP="00A2131F">
      <w:pPr>
        <w:rPr>
          <w:b/>
          <w:bCs/>
        </w:rPr>
      </w:pPr>
      <w:r>
        <w:rPr>
          <w:b/>
          <w:bCs/>
        </w:rPr>
        <w:t xml:space="preserve">The </w:t>
      </w:r>
      <w:r w:rsidRPr="00396A9A">
        <w:rPr>
          <w:b/>
          <w:bCs/>
        </w:rPr>
        <w:t>Problem</w:t>
      </w:r>
      <w:r>
        <w:rPr>
          <w:b/>
          <w:bCs/>
        </w:rPr>
        <w:t xml:space="preserve"> with Patient Education</w:t>
      </w:r>
      <w:r w:rsidRPr="00396A9A">
        <w:rPr>
          <w:b/>
          <w:bCs/>
        </w:rPr>
        <w:t xml:space="preserve">:  </w:t>
      </w:r>
    </w:p>
    <w:p w14:paraId="1131734E" w14:textId="77777777" w:rsidR="00396A9A" w:rsidRPr="00396A9A" w:rsidRDefault="00396A9A" w:rsidP="00396A9A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96A9A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Adoption is low</w:t>
      </w:r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 - Less than 50% of patients register to use patient portals, and routine usage is even lower </w:t>
      </w:r>
      <w:hyperlink r:id="rId10" w:tgtFrame="_blank" w:history="1">
        <w:r w:rsidRPr="00396A9A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Oxford Academic</w:t>
        </w:r>
      </w:hyperlink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>, despite these being key educational delivery channels.</w:t>
      </w:r>
    </w:p>
    <w:p w14:paraId="31213933" w14:textId="77777777" w:rsidR="00396A9A" w:rsidRPr="00396A9A" w:rsidRDefault="00396A9A" w:rsidP="00396A9A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96A9A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Implementation barriers</w:t>
      </w:r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 - Healthcare providers face time constraints during consultations that hamper their ability to offer in-depth, personalized education </w:t>
      </w:r>
      <w:hyperlink r:id="rId11" w:tgtFrame="_blank" w:history="1">
        <w:r w:rsidRPr="00396A9A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PubMed Central</w:t>
        </w:r>
      </w:hyperlink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. Nurses cite lack of resources, inadequate time, insufficient knowledge and skills, and lack of patient readiness as major barriers </w:t>
      </w:r>
      <w:hyperlink r:id="rId12" w:tgtFrame="_blank" w:history="1">
        <w:r w:rsidRPr="00396A9A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ResearchGate</w:t>
        </w:r>
      </w:hyperlink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629C2667" w14:textId="77777777" w:rsidR="00396A9A" w:rsidRPr="00396A9A" w:rsidRDefault="00396A9A" w:rsidP="00396A9A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96A9A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Equity gaps</w:t>
      </w:r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 - Approximately 93 million American adults have low health literacy, with only 12% considered proficient </w:t>
      </w:r>
      <w:hyperlink r:id="rId13" w:tgtFrame="_blank" w:history="1">
        <w:r w:rsidRPr="00396A9A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Globo</w:t>
        </w:r>
      </w:hyperlink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. Some patients are "hardly reached" by education programs due to lower educational levels, severe co-morbidity, low health literacy, and sociocultural problems </w:t>
      </w:r>
      <w:hyperlink r:id="rId14" w:tgtFrame="_blank" w:history="1">
        <w:r w:rsidRPr="00396A9A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NCBI</w:t>
        </w:r>
      </w:hyperlink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5AD86042" w14:textId="5EAEB020" w:rsidR="00CC196C" w:rsidRPr="00CC196C" w:rsidRDefault="00396A9A" w:rsidP="00CC196C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396A9A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Inconsistent quality</w:t>
      </w:r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 - Most patient education materials aren't written for the average American reading level of 7th-8th grade </w:t>
      </w:r>
      <w:hyperlink r:id="rId15" w:tgtFrame="_blank" w:history="1">
        <w:proofErr w:type="spellStart"/>
        <w:r w:rsidRPr="00396A9A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MicroMD</w:t>
        </w:r>
        <w:proofErr w:type="spellEnd"/>
      </w:hyperlink>
    </w:p>
    <w:p w14:paraId="1CFCF533" w14:textId="3E8A4DD3" w:rsidR="00CC196C" w:rsidRPr="00CC196C" w:rsidRDefault="00396A9A" w:rsidP="00CC196C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396A9A">
        <w:rPr>
          <w:rFonts w:eastAsia="Times New Roman" w:cs="Times New Roman"/>
          <w:b/>
          <w:bCs/>
          <w:kern w:val="0"/>
          <w14:ligatures w14:val="none"/>
        </w:rPr>
        <w:t>The Bottom Line</w:t>
      </w:r>
    </w:p>
    <w:p w14:paraId="4899C7FC" w14:textId="22FE9DEB" w:rsidR="00396A9A" w:rsidRPr="00CC196C" w:rsidRDefault="00396A9A" w:rsidP="00CC196C">
      <w:pPr>
        <w:spacing w:before="100" w:beforeAutospacing="1" w:after="100" w:afterAutospacing="1" w:line="240" w:lineRule="auto"/>
        <w:ind w:left="720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Patient education </w:t>
      </w:r>
      <w:r w:rsidRPr="00396A9A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should</w:t>
      </w:r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 work and </w:t>
      </w:r>
      <w:r w:rsidRPr="00396A9A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can</w:t>
      </w:r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t xml:space="preserve"> work when properly implemented. But there's a large gap between the controlled studies showing benefits and real-world implementation where time pressures, literacy mismatches, limited adoption, and resource constraints </w:t>
      </w:r>
      <w:r w:rsidRPr="00396A9A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undermine effectiveness. The promise is there, but many healthcare systems haven't yet figured out how to deliver it reliably at scale.</w:t>
      </w:r>
    </w:p>
    <w:p w14:paraId="2B1FB141" w14:textId="1BF26C2F" w:rsidR="00CC196C" w:rsidRPr="00A2131F" w:rsidRDefault="00CC196C" w:rsidP="00A2131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>Too often, p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>atients, caregivers and family</w:t>
      </w: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 members resort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to 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Google </w:t>
      </w: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>for medical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 care advice.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Misinformation 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>compounds the problem of being poorly informed when faced with heath challenges. In the extreme, confusion leads to desperation and then anger as patients feel abandoned and malpractice accusations rise.</w:t>
      </w:r>
    </w:p>
    <w:p w14:paraId="50712F3C" w14:textId="77777777" w:rsidR="00CC196C" w:rsidRPr="00A2131F" w:rsidRDefault="00396A9A" w:rsidP="00CC196C">
      <w:pPr>
        <w:spacing w:before="100" w:beforeAutospacing="1" w:after="100" w:afterAutospacing="1" w:line="240" w:lineRule="auto"/>
        <w:ind w:firstLine="720"/>
        <w:rPr>
          <w:rFonts w:eastAsia="Times New Roman" w:cs="Times New Roman"/>
          <w:b/>
          <w:bCs/>
          <w:kern w:val="0"/>
          <w14:ligatures w14:val="none"/>
        </w:rPr>
      </w:pPr>
      <w:r w:rsidRPr="00A2131F">
        <w:rPr>
          <w:rFonts w:eastAsia="Times New Roman" w:cs="Times New Roman"/>
          <w:b/>
          <w:bCs/>
          <w:kern w:val="0"/>
          <w14:ligatures w14:val="none"/>
        </w:rPr>
        <w:t>The problem</w:t>
      </w:r>
    </w:p>
    <w:p w14:paraId="6899EF88" w14:textId="2BF0850B" w:rsidR="00D41BAA" w:rsidRDefault="00CC196C" w:rsidP="00D41BA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W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>e are ‘educating</w:t>
      </w:r>
      <w:proofErr w:type="gramStart"/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’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>people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>,</w:t>
      </w:r>
      <w:r w:rsidR="00A2131F" w:rsidRP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>We</w:t>
      </w:r>
      <w:proofErr w:type="gramEnd"/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tell people </w:t>
      </w:r>
      <w:proofErr w:type="gramStart"/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>‘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what</w:t>
      </w:r>
      <w:proofErr w:type="gramEnd"/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>’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they need to kno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w</w:t>
      </w:r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>. We are not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>not</w:t>
      </w:r>
      <w:proofErr w:type="spellEnd"/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 encouraging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them to learn </w:t>
      </w:r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>‘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how</w:t>
      </w:r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>’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to learn</w:t>
      </w:r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 xml:space="preserve">; the how-learning </w:t>
      </w:r>
      <w:proofErr w:type="gramStart"/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 xml:space="preserve">embody 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the</w:t>
      </w:r>
      <w:proofErr w:type="gramEnd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Critical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T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hinking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skill</w:t>
      </w:r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>s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.  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  Education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al programs are developed to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 be efficient.  Learning is a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p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>ersonal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396A9A" w:rsidRPr="00CC196C">
        <w:rPr>
          <w:rFonts w:eastAsia="Times New Roman" w:cs="Times New Roman"/>
          <w:kern w:val="0"/>
          <w:sz w:val="22"/>
          <w:szCs w:val="22"/>
          <w14:ligatures w14:val="none"/>
        </w:rPr>
        <w:t>commitment</w:t>
      </w:r>
      <w:r w:rsidR="00D41BAA">
        <w:rPr>
          <w:rFonts w:eastAsia="Times New Roman" w:cs="Times New Roman"/>
          <w:kern w:val="0"/>
          <w:sz w:val="22"/>
          <w:szCs w:val="22"/>
          <w14:ligatures w14:val="none"/>
        </w:rPr>
        <w:t xml:space="preserve"> to improving one’s health.</w:t>
      </w:r>
    </w:p>
    <w:p w14:paraId="1ECBD802" w14:textId="7A3306CA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Just about everyone will be diagnosed with a chronic disease at some point in their life, requiring a greater degree of understanding.  We need to bridge the what and the </w:t>
      </w:r>
      <w:proofErr w:type="spellStart"/>
      <w:r>
        <w:rPr>
          <w:rFonts w:eastAsia="Times New Roman" w:cs="Times New Roman"/>
          <w:kern w:val="0"/>
          <w:sz w:val="22"/>
          <w:szCs w:val="22"/>
          <w14:ligatures w14:val="none"/>
        </w:rPr>
        <w:t>how</w:t>
      </w:r>
      <w:proofErr w:type="spell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of learning.   </w:t>
      </w:r>
    </w:p>
    <w:p w14:paraId="356B655C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C948E9F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5F1BB1F1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E705CB2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7DF89DE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03B6CBF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3915775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9C8D900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EB427D0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57101CDB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ACB2328" w14:textId="77777777" w:rsidR="00D41BAA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48FB1B26" w14:textId="0D2A938E" w:rsidR="00396A9A" w:rsidRPr="00CC196C" w:rsidRDefault="00D41BAA" w:rsidP="00CC196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  </w:t>
      </w:r>
    </w:p>
    <w:p w14:paraId="32049FE0" w14:textId="77777777" w:rsidR="00D41BAA" w:rsidRDefault="00D41BAA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D5976DB" w14:textId="77777777" w:rsidR="00D41BAA" w:rsidRDefault="00D41BAA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F494F93" w14:textId="77777777" w:rsidR="00D41BAA" w:rsidRDefault="00D41BAA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942AFA5" w14:textId="77777777" w:rsidR="00D41BAA" w:rsidRDefault="00D41BAA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BECC6F2" w14:textId="77777777" w:rsidR="00D41BAA" w:rsidRDefault="00D41BAA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00BBA75" w14:textId="2E591E51" w:rsidR="00CC196C" w:rsidRDefault="00CC196C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topics discussed in biomedical </w:t>
      </w:r>
      <w:proofErr w:type="gramStart"/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>liter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a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t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ure ,</w:t>
      </w:r>
      <w:proofErr w:type="gramEnd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topics l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inked to dementia.  These 200 topics </w:t>
      </w:r>
      <w:proofErr w:type="gramStart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were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then</w:t>
      </w:r>
      <w:proofErr w:type="gramEnd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arranged in a Learning Graph so one can lite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rally See the Corpus of Knowledge: </w:t>
      </w:r>
    </w:p>
    <w:p w14:paraId="704A1412" w14:textId="77777777" w:rsidR="00A2131F" w:rsidRDefault="00CC196C" w:rsidP="00A2131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drawing>
          <wp:inline distT="0" distB="0" distL="0" distR="0" wp14:anchorId="6033CF30" wp14:editId="5D34700F">
            <wp:extent cx="5118652" cy="3061347"/>
            <wp:effectExtent l="0" t="0" r="0" b="0"/>
            <wp:docPr id="12644660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6040" name="Picture 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141" cy="30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3AF9" w14:textId="07B055C0" w:rsidR="00CC196C" w:rsidRPr="00A2131F" w:rsidRDefault="00CC196C" w:rsidP="00A2131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This </w:t>
      </w:r>
      <w:r w:rsidRPr="00CC196C">
        <w:rPr>
          <w:rFonts w:eastAsia="Times New Roman" w:cs="Times New Roman"/>
          <w:b/>
          <w:bCs/>
          <w:kern w:val="0"/>
          <w:sz w:val="22"/>
          <w:szCs w:val="22"/>
          <w:highlight w:val="yellow"/>
          <w14:ligatures w14:val="none"/>
        </w:rPr>
        <w:t>Interactive</w:t>
      </w:r>
      <w:r w:rsidRPr="00CC196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Learning Graph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is </w:t>
      </w:r>
      <w:proofErr w:type="gramStart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a  key</w:t>
      </w:r>
      <w:proofErr w:type="gramEnd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step in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developing </w:t>
      </w:r>
      <w:proofErr w:type="gramStart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our  ‘</w:t>
      </w:r>
      <w:proofErr w:type="gramEnd"/>
      <w:r w:rsidRPr="00CC196C">
        <w:rPr>
          <w:rFonts w:eastAsia="Times New Roman" w:cs="Times New Roman"/>
          <w:b/>
          <w:bCs/>
          <w:kern w:val="0"/>
          <w:sz w:val="22"/>
          <w:szCs w:val="22"/>
          <w:highlight w:val="yellow"/>
          <w14:ligatures w14:val="none"/>
        </w:rPr>
        <w:t>Book</w:t>
      </w:r>
      <w:r w:rsidR="00A2131F">
        <w:rPr>
          <w:rFonts w:eastAsia="Times New Roman" w:cs="Times New Roman"/>
          <w:b/>
          <w:bCs/>
          <w:kern w:val="0"/>
          <w:sz w:val="22"/>
          <w:szCs w:val="22"/>
          <w:highlight w:val="yellow"/>
          <w14:ligatures w14:val="none"/>
        </w:rPr>
        <w:t>’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AF73DDC" w14:textId="77777777" w:rsidR="00CC196C" w:rsidRDefault="00CC196C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6165F0F" w14:textId="37008DEF" w:rsidR="00CC196C" w:rsidRPr="00CC196C" w:rsidRDefault="00CC196C" w:rsidP="00CC196C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196C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Intelligent Book Generation Workflo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w</w:t>
      </w:r>
    </w:p>
    <w:p w14:paraId="10679978" w14:textId="43B03834" w:rsidR="00CC196C" w:rsidRDefault="00CC196C" w:rsidP="00CC196C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noProof/>
          <w:kern w:val="0"/>
          <w:sz w:val="22"/>
          <w:szCs w:val="22"/>
        </w:rPr>
        <w:lastRenderedPageBreak/>
        <w:drawing>
          <wp:inline distT="0" distB="0" distL="0" distR="0" wp14:anchorId="501E0B02" wp14:editId="543054DC">
            <wp:extent cx="4318000" cy="2473557"/>
            <wp:effectExtent l="0" t="0" r="0" b="3175"/>
            <wp:docPr id="303731154" name="Picture 3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31154" name="Picture 3" descr="A diagram of a workflow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56"/>
                    <a:stretch/>
                  </pic:blipFill>
                  <pic:spPr bwMode="auto">
                    <a:xfrm>
                      <a:off x="0" y="0"/>
                      <a:ext cx="4334880" cy="2483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F9363" w14:textId="4AB2D8E6" w:rsidR="00CC196C" w:rsidRDefault="00CC196C" w:rsidP="00A2131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gramStart"/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Our 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goal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is to supplement learning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by providing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an  Intelligent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‘book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’  for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>patients, caregivers and family members</w:t>
      </w: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 xml:space="preserve"> and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follow this with podcasts.</w:t>
      </w:r>
    </w:p>
    <w:p w14:paraId="75DC42CC" w14:textId="163C3806" w:rsidR="00CC196C" w:rsidRDefault="00CC196C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We are within weeks of releasing the ‘</w:t>
      </w:r>
      <w:r w:rsidRPr="00CC196C">
        <w:rPr>
          <w:rFonts w:eastAsia="Times New Roman" w:cs="Times New Roman"/>
          <w:kern w:val="0"/>
          <w:sz w:val="22"/>
          <w:szCs w:val="22"/>
          <w:highlight w:val="yellow"/>
          <w14:ligatures w14:val="none"/>
        </w:rPr>
        <w:t>first edition’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of our online Dementia Reference Book. 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950F302" w14:textId="736015CB" w:rsidR="00CC196C" w:rsidRDefault="00CC196C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Our goal is to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demonstrate the effectiveness of </w:t>
      </w:r>
      <w:proofErr w:type="spellStart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levergaging</w:t>
      </w:r>
      <w:proofErr w:type="spellEnd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AI to write a book. And use this to engage those willing to collaborate to advance the development of the material.  This is what we </w:t>
      </w:r>
      <w:proofErr w:type="gramStart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envision  as</w:t>
      </w:r>
      <w:proofErr w:type="gramEnd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a </w:t>
      </w:r>
      <w:proofErr w:type="spellStart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Citical</w:t>
      </w:r>
      <w:proofErr w:type="spellEnd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Learning Hub.  </w:t>
      </w:r>
    </w:p>
    <w:p w14:paraId="1FF0BFE0" w14:textId="670F5FF4" w:rsidR="00CC196C" w:rsidRDefault="00CC196C" w:rsidP="00396A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We share a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methodology 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a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nd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technolog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ies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that 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are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being used to develop and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distribute  intelligent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text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books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for schools in Africa. Nearly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100  of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these books have been released so far.  Students in Africa are learning advanced subjects like line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>a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r algebra and applied physics using intelligent textbooks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maintained  by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a</w:t>
      </w:r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="00A2131F">
        <w:rPr>
          <w:rFonts w:eastAsia="Times New Roman" w:cs="Times New Roman"/>
          <w:kern w:val="0"/>
          <w:sz w:val="22"/>
          <w:szCs w:val="22"/>
          <w14:ligatures w14:val="none"/>
        </w:rPr>
        <w:t xml:space="preserve">small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team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located here in Minneapolis.  We are confident that we can provide personal learning at scale.</w:t>
      </w:r>
    </w:p>
    <w:p w14:paraId="303D7BCB" w14:textId="75A9A765" w:rsidR="00CC196C" w:rsidRPr="00A2131F" w:rsidRDefault="00CC196C" w:rsidP="00396A9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A2131F">
        <w:rPr>
          <w:rFonts w:eastAsia="Times New Roman" w:cs="Times New Roman"/>
          <w:b/>
          <w:bCs/>
          <w:kern w:val="0"/>
          <w14:ligatures w14:val="none"/>
        </w:rPr>
        <w:t>About us</w:t>
      </w:r>
    </w:p>
    <w:p w14:paraId="0B35A9C0" w14:textId="6F05FC43" w:rsidR="00CC196C" w:rsidRDefault="00CC196C" w:rsidP="00A2131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Knowledge Advantage is a continuation of Information Advantage, Inc., a pioneer in supporting advanced quantitative data analysis.  AI is advancing qualitative data analysis. </w:t>
      </w:r>
    </w:p>
    <w:p w14:paraId="509DFF43" w14:textId="5E50BC15" w:rsidR="00CC196C" w:rsidRDefault="00CC196C" w:rsidP="00A2131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Knowledge Advantage’s roots were planted 10 years ago. when we developed technology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for  by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a grant-funded project, Care-to-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Plan;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a project lead by the University of Minnesota, School of Nursing.</w:t>
      </w:r>
    </w:p>
    <w:p w14:paraId="0B55F855" w14:textId="2341BDB2" w:rsidR="00CC196C" w:rsidRDefault="00CC196C" w:rsidP="00CC196C">
      <w:pPr>
        <w:spacing w:before="100" w:beforeAutospacing="1" w:after="100" w:afterAutospacing="1" w:line="240" w:lineRule="auto"/>
        <w:ind w:left="720"/>
        <w:jc w:val="center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C196C">
        <w:rPr>
          <w:rFonts w:eastAsia="Times New Roman" w:cs="Times New Roman"/>
          <w:kern w:val="0"/>
          <w:sz w:val="22"/>
          <w:szCs w:val="22"/>
          <w14:ligatures w14:val="none"/>
        </w:rPr>
        <w:t>https://pmc.ncbi.nlm.nih.gov/articles/PMC5181391/</w:t>
      </w:r>
    </w:p>
    <w:p w14:paraId="53ACAE2B" w14:textId="6C80FF6F" w:rsidR="00CC196C" w:rsidRPr="00CC196C" w:rsidRDefault="00CC196C" w:rsidP="00A2131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C196C">
        <w:rPr>
          <w:color w:val="1B1B1B"/>
          <w:sz w:val="22"/>
          <w:szCs w:val="22"/>
          <w:shd w:val="clear" w:color="auto" w:fill="FFFFFF"/>
        </w:rPr>
        <w:t>Care</w:t>
      </w:r>
      <w:r>
        <w:rPr>
          <w:color w:val="1B1B1B"/>
          <w:sz w:val="22"/>
          <w:szCs w:val="22"/>
          <w:shd w:val="clear" w:color="auto" w:fill="FFFFFF"/>
        </w:rPr>
        <w:t>-</w:t>
      </w:r>
      <w:r w:rsidRPr="00CC196C">
        <w:rPr>
          <w:color w:val="1B1B1B"/>
          <w:sz w:val="22"/>
          <w:szCs w:val="22"/>
          <w:shd w:val="clear" w:color="auto" w:fill="FFFFFF"/>
        </w:rPr>
        <w:t>to Plan</w:t>
      </w:r>
      <w:r>
        <w:rPr>
          <w:color w:val="1B1B1B"/>
          <w:sz w:val="22"/>
          <w:szCs w:val="22"/>
          <w:shd w:val="clear" w:color="auto" w:fill="FFFFFF"/>
        </w:rPr>
        <w:t>-</w:t>
      </w:r>
      <w:r w:rsidRPr="00CC196C">
        <w:rPr>
          <w:color w:val="1B1B1B"/>
          <w:sz w:val="22"/>
          <w:szCs w:val="22"/>
          <w:shd w:val="clear" w:color="auto" w:fill="FFFFFF"/>
        </w:rPr>
        <w:t>was “</w:t>
      </w:r>
      <w:r w:rsidRPr="00CC196C">
        <w:rPr>
          <w:color w:val="1B1B1B"/>
          <w:sz w:val="22"/>
          <w:szCs w:val="22"/>
          <w:shd w:val="clear" w:color="auto" w:fill="FFFFFF"/>
        </w:rPr>
        <w:t>an online resource</w:t>
      </w:r>
      <w:r w:rsidR="00A2131F">
        <w:rPr>
          <w:color w:val="1B1B1B"/>
          <w:sz w:val="22"/>
          <w:szCs w:val="22"/>
          <w:shd w:val="clear" w:color="auto" w:fill="FFFFFF"/>
        </w:rPr>
        <w:t xml:space="preserve"> </w:t>
      </w:r>
      <w:proofErr w:type="gramStart"/>
      <w:r w:rsidR="00A2131F">
        <w:rPr>
          <w:color w:val="1B1B1B"/>
          <w:sz w:val="22"/>
          <w:szCs w:val="22"/>
          <w:shd w:val="clear" w:color="auto" w:fill="FFFFFF"/>
        </w:rPr>
        <w:t xml:space="preserve">directory </w:t>
      </w:r>
      <w:r w:rsidRPr="00CC196C">
        <w:rPr>
          <w:color w:val="1B1B1B"/>
          <w:sz w:val="22"/>
          <w:szCs w:val="22"/>
          <w:shd w:val="clear" w:color="auto" w:fill="FFFFFF"/>
        </w:rPr>
        <w:t xml:space="preserve"> for</w:t>
      </w:r>
      <w:proofErr w:type="gramEnd"/>
      <w:r w:rsidRPr="00CC196C">
        <w:rPr>
          <w:color w:val="1B1B1B"/>
          <w:sz w:val="22"/>
          <w:szCs w:val="22"/>
          <w:shd w:val="clear" w:color="auto" w:fill="FFFFFF"/>
        </w:rPr>
        <w:t xml:space="preserve"> dementia caregivers (e.g., relatives or unpaid nonrelatives) that generates tailored support recommendations</w:t>
      </w:r>
      <w:r>
        <w:rPr>
          <w:color w:val="1B1B1B"/>
          <w:sz w:val="22"/>
          <w:szCs w:val="22"/>
          <w:shd w:val="clear" w:color="auto" w:fill="FFFFFF"/>
        </w:rPr>
        <w:t xml:space="preserve">.”  It was well </w:t>
      </w:r>
      <w:r w:rsidR="00A2131F">
        <w:rPr>
          <w:color w:val="1B1B1B"/>
          <w:sz w:val="22"/>
          <w:szCs w:val="22"/>
          <w:shd w:val="clear" w:color="auto" w:fill="FFFFFF"/>
        </w:rPr>
        <w:t>received</w:t>
      </w:r>
      <w:r>
        <w:rPr>
          <w:color w:val="1B1B1B"/>
          <w:sz w:val="22"/>
          <w:szCs w:val="22"/>
          <w:shd w:val="clear" w:color="auto" w:fill="FFFFFF"/>
        </w:rPr>
        <w:t xml:space="preserve"> and positively reviewed by over 400 experts.</w:t>
      </w:r>
    </w:p>
    <w:p w14:paraId="0A63B113" w14:textId="607FCA84" w:rsidR="00CC196C" w:rsidRDefault="00CC196C" w:rsidP="00A2131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The development of this online resource recommendation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engine  was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undertaken  10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years ago, prior to having the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powerful  AI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tools needed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to  ‘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move mountains of information’.  Care-to-Plan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 xml:space="preserve">underscored the importance of learning about this disease;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however ,the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monumental task of developing a comprehensive resource directory turned out to be an insurmountable barrier. Today, with AI, we have a comprehensive database,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a  Large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Language Model, that includes biomedical literature and a directory of community-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based  resources</w:t>
      </w:r>
      <w:proofErr w:type="gramEnd"/>
    </w:p>
    <w:p w14:paraId="7DC6D015" w14:textId="3AE6A304" w:rsidR="00CC196C" w:rsidRDefault="00A2131F" w:rsidP="00A2131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From the Learning Graph, AI organized the topics into 15 chapters and the created an outline for each chapter in a few minutes.</w:t>
      </w:r>
    </w:p>
    <w:p w14:paraId="2F669F15" w14:textId="20BE0BC1" w:rsidR="00CC196C" w:rsidRDefault="00CC196C" w:rsidP="00A2131F">
      <w:pPr>
        <w:spacing w:before="100" w:beforeAutospacing="1" w:after="100" w:afterAutospacing="1" w:line="240" w:lineRule="auto"/>
        <w:ind w:left="720"/>
        <w:jc w:val="center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noProof/>
          <w:kern w:val="0"/>
          <w:sz w:val="22"/>
          <w:szCs w:val="22"/>
        </w:rPr>
        <w:drawing>
          <wp:inline distT="0" distB="0" distL="0" distR="0" wp14:anchorId="5B4E432B" wp14:editId="3DE9FA33">
            <wp:extent cx="2888343" cy="2533471"/>
            <wp:effectExtent l="0" t="0" r="0" b="0"/>
            <wp:docPr id="78873934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9343" name="Picture 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856" cy="25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15CC" w14:textId="7AD38630" w:rsidR="00A2131F" w:rsidRDefault="00A2131F" w:rsidP="00A2131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As of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today,  the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>
        <w:rPr>
          <w:rFonts w:eastAsia="Times New Roman" w:cs="Times New Roman"/>
          <w:kern w:val="0"/>
          <w:sz w:val="22"/>
          <w:szCs w:val="22"/>
          <w14:ligatures w14:val="none"/>
        </w:rPr>
        <w:t>first  6</w:t>
      </w:r>
      <w:proofErr w:type="gramEnd"/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Chapters are at the first draft level.</w:t>
      </w:r>
    </w:p>
    <w:p w14:paraId="7B06F93C" w14:textId="035AEDEB" w:rsidR="00396A9A" w:rsidRPr="00A2131F" w:rsidRDefault="00A2131F" w:rsidP="007C08E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fldChar w:fldCharType="begin"/>
      </w:r>
      <w:r>
        <w:instrText xml:space="preserve"> INCLUDEPICTURE "https://mail.google.com/mail/u/0?ui=2&amp;ik=d975ad0e97&amp;attid=0.1&amp;permmsgid=msg-a:r-7880229293281376085&amp;th=19c1aedc27e2bf82&amp;view=fimg&amp;fur=ip&amp;permmsgid=msg-a:r-7880229293281376085&amp;sz=s0-l75-ft&amp;attbid=ANGjdJ-99Q4OP5AvP6Jw4w7lna90E4il9wcE1wXvvOuYJEwSwRl7q5F9HKpDVoKvwaMJIc9EaRUo_Y9NJgt47JRW_6mVjQZyk5_ru3NP9l_jqBZhgrJxQIE7q7GNK_c&amp;disp=emb&amp;realattid=ii_ml46cusw0&amp;zw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1291D8E" wp14:editId="5577E4DE">
                <wp:extent cx="302895" cy="302895"/>
                <wp:effectExtent l="0" t="0" r="0" b="0"/>
                <wp:docPr id="18013791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0DF1C" id="Rectangle 8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eastAsia="Times New Roman" w:cs="Times New Roman"/>
          <w:noProof/>
          <w:kern w:val="0"/>
          <w:sz w:val="22"/>
          <w:szCs w:val="22"/>
        </w:rPr>
        <w:drawing>
          <wp:inline distT="0" distB="0" distL="0" distR="0" wp14:anchorId="46A3B52B" wp14:editId="596611EE">
            <wp:extent cx="3924048" cy="2616032"/>
            <wp:effectExtent l="0" t="0" r="635" b="635"/>
            <wp:docPr id="480515544" name="Picture 9" descr="A medical poster with medical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15544" name="Picture 9" descr="A medical poster with medical icon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1057" cy="264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A9A" w:rsidRPr="00A2131F"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43FC0" w14:textId="77777777" w:rsidR="001649CF" w:rsidRDefault="001649CF" w:rsidP="00CC196C">
      <w:pPr>
        <w:spacing w:after="0" w:line="240" w:lineRule="auto"/>
      </w:pPr>
      <w:r>
        <w:separator/>
      </w:r>
    </w:p>
  </w:endnote>
  <w:endnote w:type="continuationSeparator" w:id="0">
    <w:p w14:paraId="27619AFF" w14:textId="77777777" w:rsidR="001649CF" w:rsidRDefault="001649CF" w:rsidP="00CC1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7427364"/>
      <w:docPartObj>
        <w:docPartGallery w:val="Page Numbers (Bottom of Page)"/>
        <w:docPartUnique/>
      </w:docPartObj>
    </w:sdtPr>
    <w:sdtContent>
      <w:p w14:paraId="6653FF44" w14:textId="7E5A0F50" w:rsidR="00CC196C" w:rsidRDefault="00CC196C" w:rsidP="00FC34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DACB977" w14:textId="77777777" w:rsidR="00CC196C" w:rsidRDefault="00CC196C" w:rsidP="00CC196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1773115"/>
      <w:docPartObj>
        <w:docPartGallery w:val="Page Numbers (Bottom of Page)"/>
        <w:docPartUnique/>
      </w:docPartObj>
    </w:sdtPr>
    <w:sdtContent>
      <w:p w14:paraId="3F6355AC" w14:textId="5353AEF0" w:rsidR="00CC196C" w:rsidRDefault="00CC196C" w:rsidP="00FC34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2D8E190A" w14:textId="77777777" w:rsidR="00CC196C" w:rsidRDefault="00CC196C" w:rsidP="00CC196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8EE8F" w14:textId="77777777" w:rsidR="001649CF" w:rsidRDefault="001649CF" w:rsidP="00CC196C">
      <w:pPr>
        <w:spacing w:after="0" w:line="240" w:lineRule="auto"/>
      </w:pPr>
      <w:r>
        <w:separator/>
      </w:r>
    </w:p>
  </w:footnote>
  <w:footnote w:type="continuationSeparator" w:id="0">
    <w:p w14:paraId="2CC9565B" w14:textId="77777777" w:rsidR="001649CF" w:rsidRDefault="001649CF" w:rsidP="00CC1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6467"/>
    <w:multiLevelType w:val="multilevel"/>
    <w:tmpl w:val="2C38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E22A8"/>
    <w:multiLevelType w:val="hybridMultilevel"/>
    <w:tmpl w:val="5ADC3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823997">
    <w:abstractNumId w:val="0"/>
  </w:num>
  <w:num w:numId="2" w16cid:durableId="162401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9A"/>
    <w:rsid w:val="000B6923"/>
    <w:rsid w:val="001649CF"/>
    <w:rsid w:val="00396A9A"/>
    <w:rsid w:val="00650EE1"/>
    <w:rsid w:val="007C08EC"/>
    <w:rsid w:val="00A2131F"/>
    <w:rsid w:val="00B5024C"/>
    <w:rsid w:val="00CC196C"/>
    <w:rsid w:val="00D41BAA"/>
    <w:rsid w:val="00D47F1A"/>
    <w:rsid w:val="00D7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7C8A3"/>
  <w15:chartTrackingRefBased/>
  <w15:docId w15:val="{D722244F-06ED-0642-8747-B700B018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A9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96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6A9A"/>
    <w:rPr>
      <w:b/>
      <w:bCs/>
    </w:rPr>
  </w:style>
  <w:style w:type="character" w:customStyle="1" w:styleId="inline-flex">
    <w:name w:val="inline-flex"/>
    <w:basedOn w:val="DefaultParagraphFont"/>
    <w:rsid w:val="00396A9A"/>
  </w:style>
  <w:style w:type="character" w:customStyle="1" w:styleId="text-nowrap">
    <w:name w:val="text-nowrap"/>
    <w:basedOn w:val="DefaultParagraphFont"/>
    <w:rsid w:val="00396A9A"/>
  </w:style>
  <w:style w:type="paragraph" w:customStyle="1" w:styleId="whitespace-normal">
    <w:name w:val="whitespace-normal"/>
    <w:basedOn w:val="Normal"/>
    <w:rsid w:val="00396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96A9A"/>
    <w:rPr>
      <w:i/>
      <w:iCs/>
    </w:rPr>
  </w:style>
  <w:style w:type="character" w:customStyle="1" w:styleId="hovertext-text-300">
    <w:name w:val="hover:text-text-300"/>
    <w:basedOn w:val="DefaultParagraphFont"/>
    <w:rsid w:val="00396A9A"/>
  </w:style>
  <w:style w:type="paragraph" w:customStyle="1" w:styleId="is-empty">
    <w:name w:val="is-empty"/>
    <w:basedOn w:val="Normal"/>
    <w:rsid w:val="00396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1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96C"/>
  </w:style>
  <w:style w:type="character" w:styleId="PageNumber">
    <w:name w:val="page number"/>
    <w:basedOn w:val="DefaultParagraphFont"/>
    <w:uiPriority w:val="99"/>
    <w:semiHidden/>
    <w:unhideWhenUsed/>
    <w:rsid w:val="00CC1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2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8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1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9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7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4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0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64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28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1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63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3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2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gagedmd.com/blog/unlocking-better-health-outcomes-the-power-of-patient-education" TargetMode="External"/><Relationship Id="rId13" Type="http://schemas.openxmlformats.org/officeDocument/2006/relationships/hyperlink" Target="https://www.helloglobo.com/blog/decreasing-health-disparities-through-patient-education-1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s://www.researchgate.net/publication/311963548_Nursing_students'_perspectives_regarding_challenges_of_patient_education_in_clinical_settings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mc.ncbi.nlm.nih.gov/articles/PMC11026867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icromd.com/blogmd/patient-education-challenge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cademic.oup.com/jamiaopen/article/6/1/ooac085/6991320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11026867/" TargetMode="External"/><Relationship Id="rId14" Type="http://schemas.openxmlformats.org/officeDocument/2006/relationships/hyperlink" Target="https://www.ncbi.nlm.nih.gov/pmc/articles/PMC4319273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1016</Words>
  <Characters>5462</Characters>
  <Application>Microsoft Office Word</Application>
  <DocSecurity>0</DocSecurity>
  <Lines>160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tanler</dc:creator>
  <cp:keywords/>
  <dc:description/>
  <cp:lastModifiedBy>richard tanler</cp:lastModifiedBy>
  <cp:revision>5</cp:revision>
  <cp:lastPrinted>2026-02-02T08:14:00Z</cp:lastPrinted>
  <dcterms:created xsi:type="dcterms:W3CDTF">2026-01-28T16:28:00Z</dcterms:created>
  <dcterms:modified xsi:type="dcterms:W3CDTF">2026-02-16T23:24:00Z</dcterms:modified>
</cp:coreProperties>
</file>