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Credit Memo</w:t>
      </w:r>
    </w:p>
    <w:p>
      <w:pPr>
        <w:jc w:val="right"/>
      </w:pPr>
      <w:r>
        <w:rPr>
          <w:sz w:val="20"/>
        </w:rPr>
        <w:t>Date: May 26, 2025</w:t>
      </w:r>
    </w:p>
    <w:p>
      <w:pPr>
        <w:jc w:val="left"/>
      </w:pPr>
      <w:r>
        <w:rPr>
          <w:b/>
        </w:rPr>
        <w:t>Company: Porshe_Full</w:t>
      </w:r>
    </w:p>
    <w:p>
      <w:r>
        <w:t>__________________________________________________</w:t>
      </w:r>
    </w:p>
    <w:p>
      <w:r>
        <w:t>**CREDIT MEMO**</w:t>
      </w:r>
    </w:p>
    <w:p>
      <w:r>
        <w:t xml:space="preserve">**To:** Credit Committee  </w:t>
        <w:br/>
        <w:t xml:space="preserve">**From:** [Your Name], Financial Analyst  </w:t>
        <w:br/>
        <w:t xml:space="preserve">**Date:** [Insert Date]  </w:t>
        <w:br/>
        <w:t>**Subject:** Credit Memo for Porsche Automobil Holding SE – Fiscal Year 2024 Analysis</w:t>
      </w:r>
    </w:p>
    <w:p>
      <w:r>
        <w:t>---</w:t>
      </w:r>
    </w:p>
    <w:p>
      <w:r>
        <w:t>**1. Executive Summary**</w:t>
      </w:r>
    </w:p>
    <w:p>
      <w:r>
        <w:t>Porsche Automobil Holding SE reported significant changes in its financial performance for the fiscal year ending December 31, 2024. The company experienced a net loss, notably impacted by substantial impairment of financial assets. Its balance sheet reflects a decrease in total assets and equity, indicating a challenging economic environment. Nevertheless, with a strong liquidity position and ongoing operational investments, the company is strategically positioned for future recovery.</w:t>
      </w:r>
    </w:p>
    <w:p>
      <w:r>
        <w:t>---</w:t>
      </w:r>
    </w:p>
    <w:p>
      <w:r>
        <w:t>**2. Financial Highlights**</w:t>
      </w:r>
    </w:p>
    <w:p>
      <w:r>
        <w:t>- **Total Revenue:** €115,000 (2024) increased from €96,000 (2023), indicating a growth trajectory despite challenges in the investment landscape.</w:t>
        <w:br/>
        <w:t>- **Net Profit/Loss:** A net loss of €1,521,284 in 2024 compared to a profit of €1,441,088 in 2023 primarily due to the impairment of financial assets of €2,925,972.</w:t>
        <w:br/>
        <w:t>- **Cash and Cash Equivalents:** Strong liquidity with €1,822,850 in cash compared to €723,595 in 2023, demonstrating improved cash management.</w:t>
        <w:br/>
        <w:t>- **Total Assets:** Decreased to €33,066,788 from €34,529,841 in the previous year, reflecting lower financial assets and a significant impairment charge.</w:t>
        <w:br/>
        <w:t>- **Marketable Securities:** Increased to €576,292 from €283,406, indicating a strategic buildup in liquid assets.</w:t>
      </w:r>
    </w:p>
    <w:p>
      <w:r>
        <w:t>---</w:t>
      </w:r>
    </w:p>
    <w:p>
      <w:r>
        <w:t>**3. Key Ratios**</w:t>
      </w:r>
    </w:p>
    <w:p>
      <w:r>
        <w:t xml:space="preserve">- **Debt/Equity Ratio:** </w:t>
        <w:br/>
        <w:t xml:space="preserve">  \[</w:t>
        <w:br/>
        <w:t xml:space="preserve">  \text{Debt/Equity} = \frac{\text{Total Liabilities}}{\text{Total Equity}} = \frac{7,912,142}{25,060,859} \approx 0.31</w:t>
        <w:br/>
        <w:t xml:space="preserve">  \]</w:t>
        <w:br/>
        <w:t xml:space="preserve">  This ratio shows a conservative leverage position.</w:t>
      </w:r>
    </w:p>
    <w:p>
      <w:r>
        <w:t xml:space="preserve">- **Interest Coverage Ratio:**  </w:t>
        <w:br/>
        <w:t xml:space="preserve">  Given the interest result of -€243,578 and income from investments of €1,682,887, we compute:</w:t>
        <w:br/>
        <w:t xml:space="preserve">  \[</w:t>
        <w:br/>
        <w:t xml:space="preserve">  \text{Interest Coverage} = \frac{\text{Income from Investments}}{\text{Interest Expense}} = \frac{1,682,887}{243,578} \approx 6.91</w:t>
        <w:br/>
        <w:t xml:space="preserve">  \]</w:t>
        <w:br/>
        <w:t xml:space="preserve">  Despite the negative interest result, the strong investment income supports interest obligations.</w:t>
      </w:r>
    </w:p>
    <w:p>
      <w:r>
        <w:t xml:space="preserve">- **Return on Equity (ROE):** </w:t>
        <w:br/>
        <w:t xml:space="preserve">  \[</w:t>
        <w:br/>
        <w:t xml:space="preserve">  \text{ROE} = \frac{\text{Net Profit}}{\text{Total Equity}} = \frac{-1,521,284}{25,060,859} \approx -6.06\%</w:t>
        <w:br/>
        <w:t xml:space="preserve">  \]</w:t>
        <w:br/>
        <w:t xml:space="preserve">  This negative value indicates low efficiency in generating returns for shareholders in 2024.</w:t>
      </w:r>
    </w:p>
    <w:p>
      <w:r>
        <w:t>---</w:t>
      </w:r>
    </w:p>
    <w:p>
      <w:r>
        <w:t>**4. Risk Analysis &amp; Commentary**</w:t>
      </w:r>
    </w:p>
    <w:p>
      <w:r>
        <w:t>- **Impairment Risk:** The impairment of financial assets is a significant concern and reflects potential volatility in valuations. Continuous monitoring is suggested.</w:t>
        <w:br/>
        <w:t xml:space="preserve">  </w:t>
        <w:br/>
        <w:t>- **Market Fluctuations:** The substantial growth in marketable securities suggests vulnerability to market fluctuations. As such, any unfavorable market conditions may further impair financial stability.</w:t>
        <w:br/>
        <w:t xml:space="preserve">  </w:t>
        <w:br/>
        <w:t>- **Liquidity Management:** While cash reserves have improved, potential market downturns could quickly deplete liquidity. Effective cash management strategies must remain a focus.</w:t>
        <w:br/>
        <w:t xml:space="preserve">  </w:t>
        <w:br/>
        <w:t>- **Operational Efficiency:** Personnel expenses and other operational costs have seen modest declines, but the high loss indicates a need for rigorous cost control and efficiency improvements moving forward.</w:t>
      </w:r>
    </w:p>
    <w:p>
      <w:r>
        <w:t>---</w:t>
      </w:r>
    </w:p>
    <w:p>
      <w:r>
        <w:t>**5. Final Credit Recommendation**</w:t>
      </w:r>
    </w:p>
    <w:p>
      <w:r>
        <w:t>Given the current challenges outlined in Porsche Automobil Holding SE's 2024 financial performance, we recommend maintaining a cautious credit approach. The firm's significant liquidity, although positive, is counterbalanced by a recent history of net losses and asset impairments. We support the credit facility remaining in place but advise closely monitoring performance metrics and risk factors over the upcoming quarters.</w:t>
      </w:r>
    </w:p>
    <w:p>
      <w:r>
        <w:t>**Recommendation:** **Hold Current Credit Limits**, with enhanced focus on risk management and performance oversight, particularly in the wake of ongoing global market uncertainties.</w:t>
      </w:r>
    </w:p>
    <w:p>
      <w:r>
        <w:t>---</w:t>
      </w:r>
    </w:p>
    <w:p>
      <w:r>
        <w:t>Should you require any further information or adjustments to this memo, please let me know.</w:t>
      </w:r>
    </w:p>
    <w:p>
      <w:r>
        <w:t xml:space="preserve">[Your Name]  </w:t>
        <w:br/>
        <w:t>Financial Analyst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