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AAS Portal</w:t>
        <w:br/>
        <w:t>API Schema + Netlify Pro Roadmap</w:t>
      </w:r>
    </w:p>
    <w:p>
      <w:pPr>
        <w:jc w:val="center"/>
      </w:pPr>
      <w:r>
        <w:rPr>
          <w:sz w:val="24"/>
        </w:rPr>
        <w:t>Downloadable spec generated from your current portal source archive</w:t>
      </w:r>
    </w:p>
    <w:p>
      <w:pPr>
        <w:jc w:val="center"/>
      </w:pPr>
      <w:r>
        <w:rPr>
          <w:sz w:val="20"/>
        </w:rPr>
        <w:t>Date: January 25, 2026</w:t>
        <w:br/>
        <w:t>Source baseline: 69768b1feef6cadf10fc9641-36032244fbb2ed5a (zip)</w:t>
      </w:r>
    </w:p>
    <w:p>
      <w:r>
        <w:br w:type="page"/>
      </w:r>
    </w:p>
    <w:p>
      <w:pPr>
        <w:pStyle w:val="Heading1"/>
      </w:pPr>
      <w:r>
        <w:t>1. Current State Snapshot</w:t>
      </w:r>
    </w:p>
    <w:p>
      <w:r>
        <w:t>Your portal is already in a strong Netlify-native shape: static UI in /public plus serverless Functions in /netlify/functions. Door and Service pages call a single function (/api/service-router) to resolve door context from Google Sheets CSV sources.</w:t>
      </w:r>
    </w:p>
    <w:p>
      <w:pPr>
        <w:pStyle w:val="Heading2"/>
      </w:pPr>
      <w:r>
        <w:t>1.1 Repo layout (from the uploaded zip)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public/</w:t>
            </w:r>
          </w:p>
        </w:tc>
        <w:tc>
          <w:tcPr>
            <w:tcW w:type="dxa" w:w="4320"/>
          </w:tcPr>
          <w:p>
            <w:r>
              <w:t>Static pages and assets (door, service, tech pages, CSS/JS)</w:t>
            </w:r>
          </w:p>
        </w:tc>
      </w:tr>
      <w:tr>
        <w:tc>
          <w:tcPr>
            <w:tcW w:type="dxa" w:w="4320"/>
          </w:tcPr>
          <w:p>
            <w:r>
              <w:t>public/door/index.html</w:t>
            </w:r>
          </w:p>
        </w:tc>
        <w:tc>
          <w:tcPr>
            <w:tcW w:type="dxa" w:w="4320"/>
          </w:tcPr>
          <w:p>
            <w:r>
              <w:t>Door detail page; fetches /api/service-router and mounts Copilot panel</w:t>
            </w:r>
          </w:p>
        </w:tc>
      </w:tr>
      <w:tr>
        <w:tc>
          <w:tcPr>
            <w:tcW w:type="dxa" w:w="4320"/>
          </w:tcPr>
          <w:p>
            <w:r>
              <w:t>public/service/index.html</w:t>
            </w:r>
          </w:p>
        </w:tc>
        <w:tc>
          <w:tcPr>
            <w:tcW w:type="dxa" w:w="4320"/>
          </w:tcPr>
          <w:p>
            <w:r>
              <w:t>Public service request page; fetches /api/service-router</w:t>
            </w:r>
          </w:p>
        </w:tc>
      </w:tr>
      <w:tr>
        <w:tc>
          <w:tcPr>
            <w:tcW w:type="dxa" w:w="4320"/>
          </w:tcPr>
          <w:p>
            <w:r>
              <w:t>public/tech/*</w:t>
            </w:r>
          </w:p>
        </w:tc>
        <w:tc>
          <w:tcPr>
            <w:tcW w:type="dxa" w:w="4320"/>
          </w:tcPr>
          <w:p>
            <w:r>
              <w:t>Internal dashboards: command center, doors, manuals, parts, summary</w:t>
            </w:r>
          </w:p>
        </w:tc>
      </w:tr>
      <w:tr>
        <w:tc>
          <w:tcPr>
            <w:tcW w:type="dxa" w:w="4320"/>
          </w:tcPr>
          <w:p>
            <w:r>
              <w:t>netlify/functions/service-router.mts</w:t>
            </w:r>
          </w:p>
        </w:tc>
        <w:tc>
          <w:tcPr>
            <w:tcW w:type="dxa" w:w="4320"/>
          </w:tcPr>
          <w:p>
            <w:r>
              <w:t>Door lookup API: Registry CSV + Door Master CSV -&gt; JSON payload</w:t>
            </w:r>
          </w:p>
        </w:tc>
      </w:tr>
      <w:tr>
        <w:tc>
          <w:tcPr>
            <w:tcW w:type="dxa" w:w="4320"/>
          </w:tcPr>
          <w:p>
            <w:r>
              <w:t>netlify/functions/_csv.mts</w:t>
            </w:r>
          </w:p>
        </w:tc>
        <w:tc>
          <w:tcPr>
            <w:tcW w:type="dxa" w:w="4320"/>
          </w:tcPr>
          <w:p>
            <w:r>
              <w:t>CSV parser + door ID normalization helper</w:t>
            </w:r>
          </w:p>
        </w:tc>
      </w:tr>
      <w:tr>
        <w:tc>
          <w:tcPr>
            <w:tcW w:type="dxa" w:w="4320"/>
          </w:tcPr>
          <w:p>
            <w:r>
              <w:t>netlify/functions/copilot-playbooks.json</w:t>
            </w:r>
          </w:p>
        </w:tc>
        <w:tc>
          <w:tcPr>
            <w:tcW w:type="dxa" w:w="4320"/>
          </w:tcPr>
          <w:p>
            <w:r>
              <w:t>Deterministic playbooks (models/symptoms -&gt; checklists/parts/manual refs)</w:t>
            </w:r>
          </w:p>
        </w:tc>
      </w:tr>
      <w:tr>
        <w:tc>
          <w:tcPr>
            <w:tcW w:type="dxa" w:w="4320"/>
          </w:tcPr>
          <w:p>
            <w:r>
              <w:t>docs/COPILOT-ARCHITECTURE.md</w:t>
            </w:r>
          </w:p>
        </w:tc>
        <w:tc>
          <w:tcPr>
            <w:tcW w:type="dxa" w:w="4320"/>
          </w:tcPr>
          <w:p>
            <w:r>
              <w:t>Target Copilot API contract and UI behavior</w:t>
            </w:r>
          </w:p>
        </w:tc>
      </w:tr>
      <w:tr>
        <w:tc>
          <w:tcPr>
            <w:tcW w:type="dxa" w:w="4320"/>
          </w:tcPr>
          <w:p>
            <w:r>
              <w:t>netlify.toml</w:t>
            </w:r>
          </w:p>
        </w:tc>
        <w:tc>
          <w:tcPr>
            <w:tcW w:type="dxa" w:w="4320"/>
          </w:tcPr>
          <w:p>
            <w:r>
              <w:t>Deploy config: publish/functions folders, redirects, headers</w:t>
            </w:r>
          </w:p>
        </w:tc>
      </w:tr>
    </w:tbl>
    <w:p>
      <w:pPr>
        <w:pStyle w:val="Heading2"/>
      </w:pPr>
      <w:r>
        <w:t>1.2 What works today</w:t>
      </w:r>
    </w:p>
    <w:p/>
    <w:p>
      <w:pPr>
        <w:pStyle w:val="ListBullet"/>
      </w:pPr>
      <w:r>
        <w:t>Door context resolution works end-to-end:</w:t>
      </w:r>
    </w:p>
    <w:p>
      <w:pPr>
        <w:pStyle w:val="ListBullet"/>
      </w:pPr>
      <w:r>
        <w:t>QR-friendly routes exist (/s, /d) and friendly pages (/service, /door).</w:t>
      </w:r>
    </w:p>
    <w:p>
      <w:pPr>
        <w:pStyle w:val="ListBullet"/>
      </w:pPr>
      <w:r>
        <w:t>Command Center already does cross-domain search (manuals/parts/service/doors) with caching in localStorage.</w:t>
      </w:r>
    </w:p>
    <w:p>
      <w:pPr>
        <w:pStyle w:val="ListBullet"/>
      </w:pPr>
      <w:r>
        <w:t>Copilot UI assets are already mounted on the Door page (copilot.js + copilot.css).</w:t>
      </w:r>
    </w:p>
    <w:p>
      <w:pPr>
        <w:pStyle w:val="Heading2"/>
      </w:pPr>
      <w:r>
        <w:t>1.3 Key gaps to address next</w:t>
      </w:r>
    </w:p>
    <w:p>
      <w:pPr>
        <w:pStyle w:val="ListBullet"/>
      </w:pPr>
      <w:r>
        <w:t>Hardcoded Google Sheets CSV URLs exist in both the function and front-end scripts.</w:t>
      </w:r>
    </w:p>
    <w:p>
      <w:pPr>
        <w:pStyle w:val="ListBullet"/>
      </w:pPr>
      <w:r>
        <w:t>CSV fetching/parsing is duplicated across function and client, increasing maintenance and drift risk.</w:t>
      </w:r>
    </w:p>
    <w:p>
      <w:pPr>
        <w:pStyle w:val="ListBullet"/>
      </w:pPr>
      <w:r>
        <w:t>Every door lookup currently fetches and parses two CSVs (no server-side caching).</w:t>
      </w:r>
    </w:p>
    <w:p>
      <w:pPr>
        <w:pStyle w:val="ListBullet"/>
      </w:pPr>
      <w:r>
        <w:t>Your /assets/* caching header uses 'immutable' on non-fingerprinted filenames, which can cause users to get stuck on old JS/CSS after deploy.</w:t>
      </w:r>
    </w:p>
    <w:p>
      <w:pPr>
        <w:pStyle w:val="ListBullet"/>
      </w:pPr>
      <w:r>
        <w:t>Debug mode in /api/service-router?debug=1 can expose raw sheet rows; useful during build, risky in production.</w:t>
      </w:r>
    </w:p>
    <w:p>
      <w:r>
        <w:br w:type="page"/>
      </w:r>
    </w:p>
    <w:p>
      <w:pPr>
        <w:pStyle w:val="Heading1"/>
      </w:pPr>
      <w:r>
        <w:t>2. Direction Using Netlify Pro</w:t>
      </w:r>
    </w:p>
    <w:p>
      <w:r>
        <w:t>The most practical Netlify Pro-aligned direction is to split the portal into two Netlify sites and centralize data access through Functions. This preserves a frictionless public QR flow while enabling a secured internal portal without custom auth work.</w:t>
      </w:r>
    </w:p>
    <w:p>
      <w:pPr>
        <w:pStyle w:val="Heading2"/>
      </w:pPr>
      <w:r>
        <w:t>2.1 Two-site deployment pattern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>
              <w:t>Audience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Public QR Site</w:t>
            </w:r>
          </w:p>
        </w:tc>
        <w:tc>
          <w:tcPr>
            <w:tcW w:type="dxa" w:w="2880"/>
          </w:tcPr>
          <w:p>
            <w:r>
              <w:t>Customers / anyone scanning QR</w:t>
            </w:r>
          </w:p>
        </w:tc>
        <w:tc>
          <w:tcPr>
            <w:tcW w:type="dxa" w:w="2880"/>
          </w:tcPr>
          <w:p>
            <w:r>
              <w:t>Service request flow + limited door context</w:t>
            </w:r>
          </w:p>
        </w:tc>
      </w:tr>
      <w:tr>
        <w:tc>
          <w:tcPr>
            <w:tcW w:type="dxa" w:w="2880"/>
          </w:tcPr>
          <w:p>
            <w:r>
              <w:t>Tech/Admin Site (Password Protected)</w:t>
            </w:r>
          </w:p>
        </w:tc>
        <w:tc>
          <w:tcPr>
            <w:tcW w:type="dxa" w:w="2880"/>
          </w:tcPr>
          <w:p>
            <w:r>
              <w:t>Techs + admin</w:t>
            </w:r>
          </w:p>
        </w:tc>
        <w:tc>
          <w:tcPr>
            <w:tcW w:type="dxa" w:w="2880"/>
          </w:tcPr>
          <w:p>
            <w:r>
              <w:t>Command Center, dashboards, Copilot admin actions</w:t>
            </w:r>
          </w:p>
        </w:tc>
      </w:tr>
    </w:tbl>
    <w:p>
      <w:r>
        <w:t>Why split: deploy-level password protection is simplest for the internal site; keeping the QR site public avoids adding friction for scans.</w:t>
      </w:r>
    </w:p>
    <w:p>
      <w:pPr>
        <w:pStyle w:val="Heading2"/>
      </w:pPr>
      <w:r>
        <w:t>2.2 Shared environment variables</w:t>
      </w:r>
    </w:p>
    <w:p>
      <w:r>
        <w:t>Move all sheet URLs, Make webhook URLs, and any tokens into Netlify environment variables (Functions scope). On Pro, configure them once as shared variables and reuse across both sites.</w:t>
      </w:r>
    </w:p>
    <w:p>
      <w:pPr>
        <w:pStyle w:val="ListBullet"/>
      </w:pPr>
      <w:r>
        <w:t>Recommended variables:</w:t>
      </w:r>
    </w:p>
    <w:p>
      <w:pPr>
        <w:pStyle w:val="ListBullet2"/>
      </w:pPr>
      <w:r>
        <w:t>REGISTRY_CSV_URL</w:t>
      </w:r>
    </w:p>
    <w:p>
      <w:pPr>
        <w:pStyle w:val="ListBullet2"/>
      </w:pPr>
      <w:r>
        <w:t>DOOR_MASTER_CSV_URL</w:t>
      </w:r>
    </w:p>
    <w:p>
      <w:pPr>
        <w:pStyle w:val="ListBullet2"/>
      </w:pPr>
      <w:r>
        <w:t>MANUALS_CSV_URL</w:t>
      </w:r>
    </w:p>
    <w:p>
      <w:pPr>
        <w:pStyle w:val="ListBullet2"/>
      </w:pPr>
      <w:r>
        <w:t>PARTS_CSV_URL</w:t>
      </w:r>
    </w:p>
    <w:p>
      <w:pPr>
        <w:pStyle w:val="ListBullet2"/>
      </w:pPr>
      <w:r>
        <w:t>SERVICE_CSV_URL</w:t>
      </w:r>
    </w:p>
    <w:p>
      <w:pPr>
        <w:pStyle w:val="ListBullet2"/>
      </w:pPr>
      <w:r>
        <w:t>MAKE_COPILOT_WEBHOOK_URL</w:t>
      </w:r>
    </w:p>
    <w:p>
      <w:pPr>
        <w:pStyle w:val="ListBullet2"/>
      </w:pPr>
      <w:r>
        <w:t>COPILOT_DEBUG_KEY (optional)</w:t>
      </w:r>
    </w:p>
    <w:p>
      <w:r>
        <w:br w:type="page"/>
      </w:r>
    </w:p>
    <w:p>
      <w:pPr>
        <w:pStyle w:val="Heading1"/>
      </w:pPr>
      <w:r>
        <w:t>3. Canonical Data Model</w:t>
      </w:r>
    </w:p>
    <w:p>
      <w:r>
        <w:t>Standardize on one canonical JSON structure for each entity. Pages can use the canonical object directly, while a short-term 'compat' object can mirror existing field names so you can migrate without breaking UI.</w:t>
      </w:r>
    </w:p>
    <w:p>
      <w:pPr>
        <w:pStyle w:val="Heading2"/>
      </w:pPr>
      <w:r>
        <w:t>3.1 Door object (canonical)</w:t>
      </w:r>
    </w:p>
    <w:p>
      <w:pPr>
        <w:spacing w:before="120" w:after="120"/>
      </w:pPr>
      <w:r>
        <w:rPr>
          <w:rFonts w:ascii="Consolas" w:hAnsi="Consolas" w:eastAsia="Consolas"/>
          <w:sz w:val="19"/>
        </w:rPr>
        <w:t>{</w:t>
        <w:br/>
        <w:t xml:space="preserve">  "door_id": "MH-1.1",</w:t>
        <w:br/>
        <w:t xml:space="preserve">  "door_key": "mh-1.1",</w:t>
        <w:br/>
        <w:t xml:space="preserve">  "ids": { "asset_id": "3762", "limble_door_id": "12345" },</w:t>
        <w:br/>
        <w:t xml:space="preserve">  "customer": { "name": "Manning Family Children's Hospital" },</w:t>
        <w:br/>
        <w:t xml:space="preserve">  "location": { "address": "200 Henry Clay Ave, New Orleans, LA 70118", "door_location": "North entrance" },</w:t>
        <w:br/>
        <w:t xml:space="preserve">  "hardware": { "door_type": "Fire door auto swing", "manufacturer": "Horton", "model": "4190" },</w:t>
        <w:br/>
        <w:t xml:space="preserve">  "links": { "request_service": "https://...", "docs": "https://...", "door_page": "/door?id=MH-1.1" },</w:t>
        <w:br/>
        <w:t xml:space="preserve">  "ops": { "status": "Active", "last_inspection": "2026-01-15", "technician": "Marcus", "notes": "Routine inspection, all normal" },</w:t>
        <w:br/>
        <w:t xml:space="preserve">  "sources": { "registry": true, "master": true }</w:t>
        <w:br/>
        <w:t>}</w:t>
      </w:r>
    </w:p>
    <w:p>
      <w:pPr>
        <w:pStyle w:val="Heading2"/>
      </w:pPr>
      <w:r>
        <w:t>3.2 Manual object (canonical)</w:t>
      </w:r>
    </w:p>
    <w:p>
      <w:pPr>
        <w:spacing w:before="120" w:after="120"/>
      </w:pPr>
      <w:r>
        <w:rPr>
          <w:rFonts w:ascii="Consolas" w:hAnsi="Consolas" w:eastAsia="Consolas"/>
          <w:sz w:val="19"/>
        </w:rPr>
        <w:t>{</w:t>
        <w:br/>
        <w:t xml:space="preserve">  "title": "Horton 4190 Installation &amp; Service Manual",</w:t>
        <w:br/>
        <w:t xml:space="preserve">  "manufacturer": "Horton",</w:t>
        <w:br/>
        <w:t xml:space="preserve">  "model": "4190",</w:t>
        <w:br/>
        <w:t xml:space="preserve">  "manual_type": "Service Manual",</w:t>
        <w:br/>
        <w:t xml:space="preserve">  "tags": ["4190", "grinding", "belt", "drive"],</w:t>
        <w:br/>
        <w:t xml:space="preserve">  "url": "https://drive.google.com/..."</w:t>
        <w:br/>
        <w:t>}</w:t>
      </w:r>
    </w:p>
    <w:p>
      <w:pPr>
        <w:pStyle w:val="Heading2"/>
      </w:pPr>
      <w:r>
        <w:t>3.3 Part object (canonical)</w:t>
      </w:r>
    </w:p>
    <w:p>
      <w:pPr>
        <w:spacing w:before="120" w:after="120"/>
      </w:pPr>
      <w:r>
        <w:rPr>
          <w:rFonts w:ascii="Consolas" w:hAnsi="Consolas" w:eastAsia="Consolas"/>
          <w:sz w:val="19"/>
        </w:rPr>
        <w:t>{</w:t>
        <w:br/>
        <w:t xml:space="preserve">  "addison": "HOR-4190-BELT",</w:t>
        <w:br/>
        <w:t xml:space="preserve">  "mfg_number": "4190-0012",</w:t>
        <w:br/>
        <w:t xml:space="preserve">  "manufacturer": "Horton",</w:t>
        <w:br/>
        <w:t xml:space="preserve">  "description": "Drive Belt - Horton 4190",</w:t>
        <w:br/>
        <w:t xml:space="preserve">  "image_url": "https://..."</w:t>
        <w:br/>
        <w:t>}</w:t>
      </w:r>
    </w:p>
    <w:p>
      <w:pPr>
        <w:pStyle w:val="Heading2"/>
      </w:pPr>
      <w:r>
        <w:t>3.4 Service record (canonical)</w:t>
      </w:r>
    </w:p>
    <w:p>
      <w:pPr>
        <w:spacing w:before="120" w:after="120"/>
      </w:pPr>
      <w:r>
        <w:rPr>
          <w:rFonts w:ascii="Consolas" w:hAnsi="Consolas" w:eastAsia="Consolas"/>
          <w:sz w:val="19"/>
        </w:rPr>
        <w:t>{</w:t>
        <w:br/>
        <w:t xml:space="preserve">  "door_id": "MH-1.1",</w:t>
        <w:br/>
        <w:t xml:space="preserve">  "date": "2026-01-15",</w:t>
        <w:br/>
        <w:t xml:space="preserve">  "type": "PM",</w:t>
        <w:br/>
        <w:t xml:space="preserve">  "technician": "Marcus",</w:t>
        <w:br/>
        <w:t xml:space="preserve">  "notes": "Routine inspection, all normal",</w:t>
        <w:br/>
        <w:t xml:space="preserve">  "parts_used": []</w:t>
        <w:br/>
        <w:t>}</w:t>
      </w:r>
    </w:p>
    <w:p>
      <w:r>
        <w:br w:type="page"/>
      </w:r>
    </w:p>
    <w:p>
      <w:pPr>
        <w:pStyle w:val="Heading1"/>
      </w:pPr>
      <w:r>
        <w:t>4. API Contracts</w:t>
      </w:r>
    </w:p>
    <w:p>
      <w:r>
        <w:t>All UI pages should call your Functions (/api/*) and receive normalized JSON. Sheets remain the source of truth, but the browser never needs to know sheet URLs or parse CSVs.</w:t>
      </w:r>
    </w:p>
    <w:p>
      <w:pPr>
        <w:pStyle w:val="Heading2"/>
      </w:pPr>
      <w:r>
        <w:t>4.1 GET /api/door</w:t>
      </w:r>
    </w:p>
    <w:p>
      <w:r>
        <w:t>Purpose: resolve door context for /door and /service. Replaces the need for the browser to touch Google Sheets.</w:t>
      </w:r>
    </w:p>
    <w:p>
      <w:pPr>
        <w:pStyle w:val="ListBullet"/>
      </w:pPr>
      <w:r>
        <w:t>Request:</w:t>
      </w:r>
    </w:p>
    <w:p>
      <w:pPr>
        <w:spacing w:before="120" w:after="120"/>
      </w:pPr>
      <w:r>
        <w:rPr>
          <w:rFonts w:ascii="Consolas" w:hAnsi="Consolas" w:eastAsia="Consolas"/>
          <w:sz w:val="19"/>
        </w:rPr>
        <w:t>GET /api/door?doorid=MH-1.1</w:t>
      </w:r>
    </w:p>
    <w:p>
      <w:pPr>
        <w:pStyle w:val="ListBullet"/>
      </w:pPr>
      <w:r>
        <w:t>Response (includes canonical + compat fields):</w:t>
      </w:r>
    </w:p>
    <w:p>
      <w:pPr>
        <w:spacing w:before="120" w:after="120"/>
      </w:pPr>
      <w:r>
        <w:rPr>
          <w:rFonts w:ascii="Consolas" w:hAnsi="Consolas" w:eastAsia="Consolas"/>
          <w:sz w:val="19"/>
        </w:rPr>
        <w:t>{</w:t>
        <w:br/>
        <w:t xml:space="preserve">  "door": { /* canonical Door object */ },</w:t>
        <w:br/>
        <w:t xml:space="preserve">  "compat": {</w:t>
        <w:br/>
        <w:t xml:space="preserve">    "doorid": "MH-1.1",</w:t>
        <w:br/>
        <w:t xml:space="preserve">    "asset_id": "3762",</w:t>
        <w:br/>
        <w:t xml:space="preserve">    "limble_door_id": "12345",</w:t>
        <w:br/>
        <w:t xml:space="preserve">    "customer": "...",</w:t>
        <w:br/>
        <w:t xml:space="preserve">    "address": "...",</w:t>
        <w:br/>
        <w:t xml:space="preserve">    "door_location": "...",</w:t>
        <w:br/>
        <w:t xml:space="preserve">    "door_type": "...",</w:t>
        <w:br/>
        <w:t xml:space="preserve">    "manufacturer": "...",</w:t>
        <w:br/>
        <w:t xml:space="preserve">    "model": "...",</w:t>
        <w:br/>
        <w:t xml:space="preserve">    "docs": "...",</w:t>
        <w:br/>
        <w:t xml:space="preserve">    "limble_url": "...",</w:t>
        <w:br/>
        <w:t xml:space="preserve">    "status": "...",</w:t>
        <w:br/>
        <w:t xml:space="preserve">    "last_inspection": "...",</w:t>
        <w:br/>
        <w:t xml:space="preserve">    "technician": "...",</w:t>
        <w:br/>
        <w:t xml:space="preserve">    "notes": "...",</w:t>
        <w:br/>
        <w:t xml:space="preserve">    "door_page": ""</w:t>
        <w:br/>
        <w:t xml:space="preserve">  }</w:t>
        <w:br/>
        <w:t>}</w:t>
      </w:r>
    </w:p>
    <w:p>
      <w:pPr>
        <w:pStyle w:val="Heading2"/>
      </w:pPr>
      <w:r>
        <w:t>4.2 GET /api/search-index</w:t>
      </w:r>
    </w:p>
    <w:p>
      <w:r>
        <w:t>Purpose: serve Command Center with a ready-to-search index (manuals, parts, service, doors) so the client does not fetch CSVs directly.</w:t>
      </w:r>
    </w:p>
    <w:p>
      <w:pPr>
        <w:spacing w:before="120" w:after="120"/>
      </w:pPr>
      <w:r>
        <w:rPr>
          <w:rFonts w:ascii="Consolas" w:hAnsi="Consolas" w:eastAsia="Consolas"/>
          <w:sz w:val="19"/>
        </w:rPr>
        <w:t>GET /api/search-index</w:t>
      </w:r>
    </w:p>
    <w:p>
      <w:pPr>
        <w:pStyle w:val="ListBullet"/>
      </w:pPr>
      <w:r>
        <w:t>Response:</w:t>
      </w:r>
    </w:p>
    <w:p>
      <w:pPr>
        <w:spacing w:before="120" w:after="120"/>
      </w:pPr>
      <w:r>
        <w:rPr>
          <w:rFonts w:ascii="Consolas" w:hAnsi="Consolas" w:eastAsia="Consolas"/>
          <w:sz w:val="19"/>
        </w:rPr>
        <w:t>{</w:t>
        <w:br/>
        <w:t xml:space="preserve">  "generated_at": "2026-01-25T21:30:00Z",</w:t>
        <w:br/>
        <w:t xml:space="preserve">  "counts": { "doors": 1824, "manuals": 241, "parts": 8392, "service": 12204 },</w:t>
        <w:br/>
        <w:t xml:space="preserve">  "items": [</w:t>
        <w:br/>
        <w:t xml:space="preserve">    { "type": "door", "title": "MH-1.1", "subtitle": "Customer • Address • Location", "url": "/door?id=MH-1.1", "search_text": "..." },</w:t>
        <w:br/>
        <w:t xml:space="preserve">    { "type": "manual", "title": "Horton 4190 Service Manual", "subtitle": "Horton • Service Manual", "url": "https://...", "search_text": "..." }</w:t>
        <w:br/>
        <w:t xml:space="preserve">  ]</w:t>
        <w:br/>
        <w:t>}</w:t>
      </w:r>
    </w:p>
    <w:p>
      <w:pPr>
        <w:pStyle w:val="Heading2"/>
      </w:pPr>
      <w:r>
        <w:t>4.3 POST /api/copilot</w:t>
      </w:r>
    </w:p>
    <w:p>
      <w:r>
        <w:t>Purpose: given door context + a symptom text, return a deterministic plan: checklist, parts, manuals, history glance, and admin actions. V1 uses rule-based playbooks (copilot-playbooks.json).</w:t>
      </w:r>
    </w:p>
    <w:p>
      <w:pPr>
        <w:spacing w:before="120" w:after="120"/>
      </w:pPr>
      <w:r>
        <w:rPr>
          <w:rFonts w:ascii="Consolas" w:hAnsi="Consolas" w:eastAsia="Consolas"/>
          <w:sz w:val="19"/>
        </w:rPr>
        <w:t>POST /api/copilot</w:t>
        <w:br/>
        <w:t>{</w:t>
        <w:br/>
        <w:t xml:space="preserve">  "door_id": "MH-1.1",</w:t>
        <w:br/>
        <w:t xml:space="preserve">  "context": { "manufacturer": "Horton", "model": "4190", "door_type": "Fire door auto swing", "customer": "Manning..." },</w:t>
        <w:br/>
        <w:t xml:space="preserve">  "symptom": "grinding noise on close",</w:t>
        <w:br/>
        <w:t xml:space="preserve">  "tab": "diagnose"</w:t>
        <w:br/>
        <w:t>}</w:t>
      </w:r>
    </w:p>
    <w:p>
      <w:pPr>
        <w:pStyle w:val="ListBullet"/>
      </w:pPr>
      <w:r>
        <w:t>Response skeleton:</w:t>
      </w:r>
    </w:p>
    <w:p>
      <w:pPr>
        <w:spacing w:before="120" w:after="120"/>
      </w:pPr>
      <w:r>
        <w:rPr>
          <w:rFonts w:ascii="Consolas" w:hAnsi="Consolas" w:eastAsia="Consolas"/>
          <w:sz w:val="19"/>
        </w:rPr>
        <w:t>{</w:t>
        <w:br/>
        <w:t xml:space="preserve">  "copilot_session_id": "cp-20260125-213000-mh-1.1",</w:t>
        <w:br/>
        <w:t xml:space="preserve">  "next_actions": [ { "type": "checklist", "steps": [ ... ], "confidence": 0.92, "source": "playbook:horton-4190:grinding" } ],</w:t>
        <w:br/>
        <w:t xml:space="preserve">  "part_candidates": [ ... ],</w:t>
        <w:br/>
        <w:t xml:space="preserve">  "manual_links": [ ... ],</w:t>
        <w:br/>
        <w:t xml:space="preserve">  "history_glance": { ... },</w:t>
        <w:br/>
        <w:t xml:space="preserve">  "admin_actions": [ ... ]</w:t>
        <w:br/>
        <w:t>}</w:t>
      </w:r>
    </w:p>
    <w:p>
      <w:r>
        <w:br w:type="page"/>
      </w:r>
    </w:p>
    <w:p>
      <w:pPr>
        <w:pStyle w:val="Heading1"/>
      </w:pPr>
      <w:r>
        <w:t>5. Implementation Plan</w:t>
      </w:r>
    </w:p>
    <w:p>
      <w:pPr>
        <w:pStyle w:val="Heading2"/>
      </w:pPr>
      <w:r>
        <w:t>5.1 Phase 1 - Hardening what exists (1-2 days)</w:t>
      </w:r>
    </w:p>
    <w:p>
      <w:pPr>
        <w:pStyle w:val="ListBullet"/>
      </w:pPr>
      <w:r>
        <w:t>Move sheet URLs to environment variables (Functions scope). Keep hardcoded fallback during transition.</w:t>
      </w:r>
    </w:p>
    <w:p>
      <w:pPr>
        <w:pStyle w:val="ListBullet"/>
      </w:pPr>
      <w:r>
        <w:t>Add server-side caching for CSV fetches (Cache API in Netlify Functions) to reduce latency and sheet load.</w:t>
      </w:r>
    </w:p>
    <w:p>
      <w:pPr>
        <w:pStyle w:val="ListBullet"/>
      </w:pPr>
      <w:r>
        <w:t>Gate or remove /api/service-router?debug=1 in production (require a secret key).</w:t>
      </w:r>
    </w:p>
    <w:p>
      <w:pPr>
        <w:pStyle w:val="ListBullet"/>
      </w:pPr>
      <w:r>
        <w:t>Adjust /assets/* cache header: remove 'immutable' unless you fingerprint filenames.</w:t>
      </w:r>
    </w:p>
    <w:p>
      <w:pPr>
        <w:pStyle w:val="Heading2"/>
      </w:pPr>
      <w:r>
        <w:t>5.2 Phase 2 - Centralize data (2-4 days)</w:t>
      </w:r>
    </w:p>
    <w:p>
      <w:pPr>
        <w:pStyle w:val="ListBullet"/>
      </w:pPr>
      <w:r>
        <w:t>Add /api/door endpoint returning canonical + compat objects.</w:t>
      </w:r>
    </w:p>
    <w:p>
      <w:pPr>
        <w:pStyle w:val="ListBullet"/>
      </w:pPr>
      <w:r>
        <w:t>Add /api/search-index endpoint, then update Command Center to prefer it (with CSV fallback during rollout).</w:t>
      </w:r>
    </w:p>
    <w:p>
      <w:pPr>
        <w:pStyle w:val="ListBullet"/>
      </w:pPr>
      <w:r>
        <w:t>Add /api/manuals, /api/parts, /api/service-history for pages that need direct lists.</w:t>
      </w:r>
    </w:p>
    <w:p>
      <w:pPr>
        <w:pStyle w:val="Heading2"/>
      </w:pPr>
      <w:r>
        <w:t>5.3 Phase 3 - Copilot V1 + Make automation (3-7 days)</w:t>
      </w:r>
    </w:p>
    <w:p>
      <w:pPr>
        <w:pStyle w:val="ListBullet"/>
      </w:pPr>
      <w:r>
        <w:t>Implement /api/copilot using playbooks, manual links, and parts lookup enrichment.</w:t>
      </w:r>
    </w:p>
    <w:p>
      <w:pPr>
        <w:pStyle w:val="ListBullet"/>
      </w:pPr>
      <w:r>
        <w:t>Implement Admin buttons to POST to Make webhook(s).</w:t>
      </w:r>
    </w:p>
    <w:p>
      <w:pPr>
        <w:pStyle w:val="ListBullet"/>
      </w:pPr>
      <w:r>
        <w:t>Add idempotency key format to prevent double-creates.</w:t>
      </w:r>
    </w:p>
    <w:p>
      <w:pPr>
        <w:pStyle w:val="ListBullet"/>
      </w:pPr>
      <w:r>
        <w:t>Log copilot_session_id, symptom, and selected actions into Service History.</w:t>
      </w:r>
    </w:p>
    <w:p>
      <w:pPr>
        <w:pStyle w:val="Heading2"/>
      </w:pPr>
      <w:r>
        <w:t>5.4 Phase 4 - Fast, durable reads (future)</w:t>
      </w:r>
    </w:p>
    <w:p>
      <w:pPr>
        <w:pStyle w:val="ListBullet"/>
      </w:pPr>
      <w:r>
        <w:t>Use Netlify Blobs as a read-optimized store for door/manual/parts/service indexes.</w:t>
      </w:r>
    </w:p>
    <w:p>
      <w:pPr>
        <w:pStyle w:val="ListBullet"/>
      </w:pPr>
      <w:r>
        <w:t>Add a Scheduled Function to refresh blobs from Sheets on an interval.</w:t>
      </w:r>
    </w:p>
    <w:p>
      <w:pPr>
        <w:pStyle w:val="ListBullet"/>
      </w:pPr>
      <w:r>
        <w:t>Serve all UI data from blobs for consistent, fast performance.</w:t>
      </w:r>
    </w:p>
    <w:p>
      <w:r>
        <w:br w:type="page"/>
      </w:r>
    </w:p>
    <w:p>
      <w:pPr>
        <w:pStyle w:val="Heading1"/>
      </w:pPr>
      <w:r>
        <w:t>Appendix A. Field Mapping (Sheets -&gt; Canonical)</w:t>
      </w:r>
    </w:p>
    <w:p>
      <w:r>
        <w:t>This mapping reflects the keys currently used in netlify/functions/service-router.mts and public/assets/command-center.js.</w:t>
      </w:r>
    </w:p>
    <w:p>
      <w:pPr>
        <w:pStyle w:val="Heading2"/>
      </w:pPr>
      <w:r>
        <w:t>A.1 Door Registry CSV -&gt; Door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Registry header variants</w:t>
            </w:r>
          </w:p>
        </w:tc>
        <w:tc>
          <w:tcPr>
            <w:tcW w:type="dxa" w:w="4320"/>
          </w:tcPr>
          <w:p>
            <w:r>
              <w:t>Canonical field</w:t>
            </w:r>
          </w:p>
        </w:tc>
      </w:tr>
      <w:tr>
        <w:tc>
          <w:tcPr>
            <w:tcW w:type="dxa" w:w="4320"/>
          </w:tcPr>
          <w:p>
            <w:r>
              <w:t>Name / Door Name / Label ID / Label</w:t>
            </w:r>
          </w:p>
        </w:tc>
        <w:tc>
          <w:tcPr>
            <w:tcW w:type="dxa" w:w="4320"/>
          </w:tcPr>
          <w:p>
            <w:r>
              <w:t>door.door_id</w:t>
            </w:r>
          </w:p>
        </w:tc>
      </w:tr>
      <w:tr>
        <w:tc>
          <w:tcPr>
            <w:tcW w:type="dxa" w:w="4320"/>
          </w:tcPr>
          <w:p>
            <w:r>
              <w:t>Asset ID / AssetID / asset id</w:t>
            </w:r>
          </w:p>
        </w:tc>
        <w:tc>
          <w:tcPr>
            <w:tcW w:type="dxa" w:w="4320"/>
          </w:tcPr>
          <w:p>
            <w:r>
              <w:t>door.ids.asset_id</w:t>
            </w:r>
          </w:p>
        </w:tc>
      </w:tr>
      <w:tr>
        <w:tc>
          <w:tcPr>
            <w:tcW w:type="dxa" w:w="4320"/>
          </w:tcPr>
          <w:p>
            <w:r>
              <w:t>Door ID / DoorID / door id</w:t>
            </w:r>
          </w:p>
        </w:tc>
        <w:tc>
          <w:tcPr>
            <w:tcW w:type="dxa" w:w="4320"/>
          </w:tcPr>
          <w:p>
            <w:r>
              <w:t>door.ids.limble_door_id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door.customer.name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door.location.address</w:t>
            </w:r>
          </w:p>
        </w:tc>
      </w:tr>
      <w:tr>
        <w:tc>
          <w:tcPr>
            <w:tcW w:type="dxa" w:w="4320"/>
          </w:tcPr>
          <w:p>
            <w:r>
              <w:t>Door location / Door Location</w:t>
            </w:r>
          </w:p>
        </w:tc>
        <w:tc>
          <w:tcPr>
            <w:tcW w:type="dxa" w:w="4320"/>
          </w:tcPr>
          <w:p>
            <w:r>
              <w:t>door.location.door_location</w:t>
            </w:r>
          </w:p>
        </w:tc>
      </w:tr>
      <w:tr>
        <w:tc>
          <w:tcPr>
            <w:tcW w:type="dxa" w:w="4320"/>
          </w:tcPr>
          <w:p>
            <w:r>
              <w:t>Door Type / Type</w:t>
            </w:r>
          </w:p>
        </w:tc>
        <w:tc>
          <w:tcPr>
            <w:tcW w:type="dxa" w:w="4320"/>
          </w:tcPr>
          <w:p>
            <w:r>
              <w:t>door.hardware.door_type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door.hardware.manufacturer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door.hardware.model</w:t>
            </w:r>
          </w:p>
        </w:tc>
      </w:tr>
      <w:tr>
        <w:tc>
          <w:tcPr>
            <w:tcW w:type="dxa" w:w="4320"/>
          </w:tcPr>
          <w:p>
            <w:r>
              <w:t>Docs / Documentation / Doc Link</w:t>
            </w:r>
          </w:p>
        </w:tc>
        <w:tc>
          <w:tcPr>
            <w:tcW w:type="dxa" w:w="4320"/>
          </w:tcPr>
          <w:p>
            <w:r>
              <w:t>door.links.docs</w:t>
            </w:r>
          </w:p>
        </w:tc>
      </w:tr>
      <w:tr>
        <w:tc>
          <w:tcPr>
            <w:tcW w:type="dxa" w:w="4320"/>
          </w:tcPr>
          <w:p>
            <w:r>
              <w:t>QR URL / Work Request URL / Limble Work Request URL / Problem URL</w:t>
            </w:r>
          </w:p>
        </w:tc>
        <w:tc>
          <w:tcPr>
            <w:tcW w:type="dxa" w:w="4320"/>
          </w:tcPr>
          <w:p>
            <w:r>
              <w:t>door.links.request_service</w:t>
            </w:r>
          </w:p>
        </w:tc>
      </w:tr>
    </w:tbl>
    <w:p>
      <w:pPr>
        <w:pStyle w:val="Heading2"/>
      </w:pPr>
      <w:r>
        <w:t>A.2 Door Master CSV -&gt; Door.ops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Master header</w:t>
            </w:r>
          </w:p>
        </w:tc>
        <w:tc>
          <w:tcPr>
            <w:tcW w:type="dxa" w:w="4320"/>
          </w:tcPr>
          <w:p>
            <w:r>
              <w:t>Canonical field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door.ops.status</w:t>
            </w:r>
          </w:p>
        </w:tc>
      </w:tr>
      <w:tr>
        <w:tc>
          <w:tcPr>
            <w:tcW w:type="dxa" w:w="4320"/>
          </w:tcPr>
          <w:p>
            <w:r>
              <w:t>Last Inspection / LastInspection</w:t>
            </w:r>
          </w:p>
        </w:tc>
        <w:tc>
          <w:tcPr>
            <w:tcW w:type="dxa" w:w="4320"/>
          </w:tcPr>
          <w:p>
            <w:r>
              <w:t>door.ops.last_inspection</w:t>
            </w:r>
          </w:p>
        </w:tc>
      </w:tr>
      <w:tr>
        <w:tc>
          <w:tcPr>
            <w:tcW w:type="dxa" w:w="4320"/>
          </w:tcPr>
          <w:p>
            <w:r>
              <w:t>Technician</w:t>
            </w:r>
          </w:p>
        </w:tc>
        <w:tc>
          <w:tcPr>
            <w:tcW w:type="dxa" w:w="4320"/>
          </w:tcPr>
          <w:p>
            <w:r>
              <w:t>door.ops.technician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>
              <w:t>door.ops.notes</w:t>
            </w:r>
          </w:p>
        </w:tc>
      </w:tr>
      <w:tr>
        <w:tc>
          <w:tcPr>
            <w:tcW w:type="dxa" w:w="4320"/>
          </w:tcPr>
          <w:p>
            <w:r>
              <w:t>QR Link / QRLink / QR link</w:t>
            </w:r>
          </w:p>
        </w:tc>
        <w:tc>
          <w:tcPr>
            <w:tcW w:type="dxa" w:w="4320"/>
          </w:tcPr>
          <w:p>
            <w:r>
              <w:t>door.links.door_page</w:t>
            </w:r>
          </w:p>
        </w:tc>
      </w:tr>
    </w:tbl>
    <w:p>
      <w:pPr>
        <w:pStyle w:val="Heading1"/>
      </w:pPr>
      <w:r>
        <w:t>Appendix B. Suggested Function Stubs</w:t>
      </w:r>
    </w:p>
    <w:p>
      <w:r>
        <w:t>If you want a head start, implement new endpoints as separate functions that reuse _csv.mts. Suggested stubs: door.mts, search-index.mts, copilot.mts (playbook-driven).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