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31DFCF70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Updated on </w:t>
      </w:r>
      <w:r w:rsidR="00D55863" w:rsidRPr="00743CCB">
        <w:rPr>
          <w:rFonts w:ascii="Segoe UI Light" w:eastAsia="UD Digi Kyokasho NK-R" w:hAnsi="Segoe UI Light" w:cs="Segoe UI Light"/>
          <w:sz w:val="20"/>
          <w:szCs w:val="20"/>
        </w:rPr>
        <w:t>July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r w:rsidR="00B020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10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  <w:bookmarkStart w:id="0" w:name="_GoBack"/>
            <w:bookmarkEnd w:id="0"/>
          </w:p>
        </w:tc>
      </w:tr>
      <w:tr w:rsidR="006168EC" w:rsidRPr="00743CCB" w14:paraId="19CC93E1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5198C64" w14:textId="69C8E064" w:rsidR="006168EC" w:rsidRPr="00743CCB" w:rsidRDefault="0000653D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00653D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RTCSA &amp; NVMSA Opening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2BED2E64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6168EC" w:rsidRPr="00743CCB" w14:paraId="21B262F9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61066E"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082FE123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RTCSA Keynote 1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230B6BB6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3F7F5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3F7F59" w:rsidRPr="00743CCB" w:rsidRDefault="003F7F5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3F7F59" w:rsidRPr="00743CCB" w:rsidRDefault="003F7F5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61066E"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3F7F59" w:rsidRPr="00743CCB" w:rsidRDefault="00D55863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</w:t>
            </w:r>
            <w:r w:rsidR="003F7F59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reak</w:t>
            </w:r>
          </w:p>
        </w:tc>
      </w:tr>
      <w:tr w:rsidR="006168EC" w:rsidRPr="00743CCB" w14:paraId="0C116D1F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4B9D83A" w14:textId="1DC91B0B" w:rsidR="006168EC" w:rsidRPr="00743CCB" w:rsidRDefault="00A27633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Keynote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2023F05E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</w:t>
            </w:r>
            <w:r w:rsidR="0086001A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6168EC" w:rsidRPr="00743CCB" w:rsidRDefault="00EE2A43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6168EC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237B4C97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3EDB2F5B" w:rsidR="006168EC" w:rsidRPr="00743CCB" w:rsidRDefault="0041661A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1661A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&amp; Poster Presentation (Grand Ballroom B)</w:t>
            </w:r>
          </w:p>
        </w:tc>
      </w:tr>
      <w:tr w:rsidR="006168EC" w:rsidRPr="00743CCB" w14:paraId="36870171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745479E" w14:textId="6C1678CE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RTCSA Keynote 2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2D1C0700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6168EC" w:rsidRPr="00743CCB" w:rsidRDefault="006168EC" w:rsidP="00EE1254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="009823C8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="002308CB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</w:r>
            <w:r w:rsidR="009823C8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6168EC" w:rsidRPr="00743CCB" w:rsidRDefault="00424E64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6168EC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6168EC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6168EC" w:rsidRPr="00743CCB" w:rsidRDefault="00531F9B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="006D1856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6168EC" w:rsidRPr="00743CCB" w:rsidRDefault="00DB60D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6168EC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6168EC" w:rsidRPr="00743CCB" w:rsidRDefault="00531F9B" w:rsidP="00EE1254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</w:t>
            </w:r>
            <w:r w:rsidR="006D185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6168EC" w:rsidRPr="00743CCB" w:rsidRDefault="004D4DBF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6168EC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5A77834A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7E9FEF3F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Banquet</w:t>
            </w:r>
          </w:p>
        </w:tc>
      </w:tr>
      <w:tr w:rsidR="006168EC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6168EC" w:rsidRPr="00743CCB" w:rsidRDefault="009D3A80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6168EC" w:rsidRPr="00743CCB" w:rsidRDefault="00531F9B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</w:t>
            </w:r>
            <w:r w:rsidR="00FC36D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6168EC" w:rsidRPr="00743CCB" w:rsidRDefault="006168EC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6168EC" w:rsidRPr="00743CCB" w:rsidRDefault="006168EC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1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6168EC" w:rsidRPr="00743CCB" w:rsidRDefault="009D3A80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</w:t>
            </w:r>
            <w:r w:rsidR="00FC36D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1"/>
      <w:tr w:rsidR="00F63C27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F63C27" w:rsidRPr="00743CCB" w:rsidRDefault="00F63C27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F63C27" w:rsidRPr="00743CCB" w:rsidRDefault="00F63C27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F63C27" w:rsidRPr="00743CCB" w:rsidRDefault="00F63C27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F63C27" w:rsidRPr="00743CCB" w:rsidRDefault="00F63C27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743CCB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1)</w:t>
      </w:r>
    </w:p>
    <w:p w14:paraId="078419C9" w14:textId="1C6C1210" w:rsidR="007041F2" w:rsidRPr="00743CCB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743CCB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4B3C628" w:rsidR="00AB0551" w:rsidRPr="00743CCB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15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15</w:t>
      </w:r>
      <w:r w:rsidR="00C1329F" w:rsidRPr="00C1329F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1E708BC0" w:rsidR="009B07DA" w:rsidRPr="00743CCB" w:rsidRDefault="00C064E3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743CCB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743CCB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743CCB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743CCB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743CCB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CD16F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7A96C4C1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NVMSA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0B6FD3B0" w14:textId="18E0E401" w:rsidR="001E68D7" w:rsidRPr="00743CCB" w:rsidRDefault="008A2159" w:rsidP="00436BEA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TBA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436BE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436BEA" w:rsidRPr="00743CCB">
        <w:rPr>
          <w:rFonts w:ascii="Segoe UI Light" w:eastAsia="UD Digi Kyokasho NK-R" w:hAnsi="Segoe UI Light" w:cs="Segoe UI Light"/>
          <w:sz w:val="20"/>
          <w:szCs w:val="20"/>
        </w:rPr>
        <w:t>Virginia Tech College of Engineering, USA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2DAC9BB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743CCB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891F3F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743CCB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743CCB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743CCB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743CCB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743CCB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6877A28A" w:rsidR="00066E33" w:rsidRPr="00743CCB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</w:t>
      </w:r>
      <w:r w:rsidR="00CD16FB">
        <w:rPr>
          <w:rFonts w:ascii="Segoe UI Light" w:eastAsia="UD Digi Kyokasho NK-R" w:hAnsi="Segoe UI Light" w:cs="Segoe UI Light"/>
          <w:b/>
          <w:sz w:val="20"/>
          <w:szCs w:val="20"/>
        </w:rPr>
        <w:t xml:space="preserve"> B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7501EA37" w:rsidR="00066E33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Poster Presentation</w:t>
      </w:r>
      <w:r w:rsidR="008A5C8A" w:rsidRPr="00743CCB">
        <w:rPr>
          <w:rFonts w:ascii="Segoe UI Light" w:eastAsia="UD Digi Kyokasho NK-R" w:hAnsi="Segoe UI Light" w:cs="Segoe UI Light"/>
          <w:b/>
          <w:sz w:val="20"/>
          <w:szCs w:val="20"/>
        </w:rPr>
        <w:t>s</w:t>
      </w:r>
    </w:p>
    <w:p w14:paraId="658334A4" w14:textId="68FD5F2E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743CCB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743CCB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743CCB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743CCB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743CCB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743CCB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6B7395EC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2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CD8D" w14:textId="77777777" w:rsidR="002C2A37" w:rsidRDefault="002C2A37" w:rsidP="00F94E9B">
      <w:r>
        <w:separator/>
      </w:r>
    </w:p>
  </w:endnote>
  <w:endnote w:type="continuationSeparator" w:id="0">
    <w:p w14:paraId="3036BE00" w14:textId="77777777" w:rsidR="002C2A37" w:rsidRDefault="002C2A37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A6EB8" w14:textId="77777777" w:rsidR="002C2A37" w:rsidRDefault="002C2A37" w:rsidP="00F94E9B">
      <w:r>
        <w:separator/>
      </w:r>
    </w:p>
  </w:footnote>
  <w:footnote w:type="continuationSeparator" w:id="0">
    <w:p w14:paraId="59D0B1A9" w14:textId="77777777" w:rsidR="002C2A37" w:rsidRDefault="002C2A37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2A37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CE4"/>
    <w:rsid w:val="004F0F24"/>
    <w:rsid w:val="004F1A2E"/>
    <w:rsid w:val="004F3556"/>
    <w:rsid w:val="004F587D"/>
    <w:rsid w:val="004F602B"/>
    <w:rsid w:val="004F636E"/>
    <w:rsid w:val="004F652B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620B7"/>
    <w:rsid w:val="00F63C27"/>
    <w:rsid w:val="00F65DB9"/>
    <w:rsid w:val="00F72F85"/>
    <w:rsid w:val="00F75C3C"/>
    <w:rsid w:val="00F90656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F1512-93F8-47E3-9FDC-CE2D15F5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1319</Words>
  <Characters>7521</Characters>
  <Application>Microsoft Office Word</Application>
  <DocSecurity>0</DocSecurity>
  <Lines>62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3</cp:revision>
  <cp:lastPrinted>2024-08-06T23:35:00Z</cp:lastPrinted>
  <dcterms:created xsi:type="dcterms:W3CDTF">2024-08-06T23:35:00Z</dcterms:created>
  <dcterms:modified xsi:type="dcterms:W3CDTF">2024-08-06T23:36:00Z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