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18394FEF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(2018+)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To appear </w:t>
      </w:r>
      <w:r w:rsidR="005B20A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>
        <w:rPr>
          <w:rFonts w:ascii="Arial" w:hAnsi="Arial" w:cs="Arial"/>
          <w:sz w:val="20"/>
          <w:szCs w:val="20"/>
        </w:rPr>
        <w:t>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  <w:bookmarkStart w:id="0" w:name="_GoBack"/>
      <w:bookmarkEnd w:id="0"/>
    </w:p>
    <w:p w14:paraId="2518F22F" w14:textId="160AE2D1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(2018+). Hot and Cold Hands on the PGA Tour: Do they Exist? To appear in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>
        <w:rPr>
          <w:rFonts w:ascii="Arial" w:hAnsi="Arial" w:cs="Arial"/>
          <w:iCs/>
          <w:sz w:val="20"/>
          <w:szCs w:val="20"/>
        </w:rPr>
        <w:t>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13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4B30C8EE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0B59FC">
        <w:rPr>
          <w:rFonts w:ascii="Arial" w:eastAsia="Times New Roman" w:hAnsi="Arial" w:cs="Arial"/>
          <w:bCs/>
          <w:sz w:val="20"/>
          <w:szCs w:val="20"/>
        </w:rPr>
        <w:t>To appear in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>.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Me-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dian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>, 477 – 490. https://doi.org/10.1111/j.1467-842X.2006.00452.x</w:t>
      </w: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</w:t>
      </w: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2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5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6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Future of Programming: Data” Presented at the Davinci Institute, Boulder, CO,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External Funding</w:t>
      </w:r>
    </w:p>
    <w:p w14:paraId="1EFED4FA" w14:textId="1E361797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(pending,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DF1D" w14:textId="77777777" w:rsidR="00463261" w:rsidRDefault="00463261" w:rsidP="001E2A25">
      <w:r>
        <w:separator/>
      </w:r>
    </w:p>
  </w:endnote>
  <w:endnote w:type="continuationSeparator" w:id="0">
    <w:p w14:paraId="01C520AD" w14:textId="77777777" w:rsidR="00463261" w:rsidRDefault="00463261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6F6B" w14:textId="77777777" w:rsidR="00463261" w:rsidRDefault="00463261" w:rsidP="001E2A25">
      <w:r>
        <w:separator/>
      </w:r>
    </w:p>
  </w:footnote>
  <w:footnote w:type="continuationSeparator" w:id="0">
    <w:p w14:paraId="4326463E" w14:textId="77777777" w:rsidR="00463261" w:rsidRDefault="00463261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72D95"/>
    <w:rsid w:val="00175C89"/>
    <w:rsid w:val="001E2A25"/>
    <w:rsid w:val="002006BC"/>
    <w:rsid w:val="0020542C"/>
    <w:rsid w:val="0022127F"/>
    <w:rsid w:val="00223B58"/>
    <w:rsid w:val="002C5E8B"/>
    <w:rsid w:val="002E63D7"/>
    <w:rsid w:val="003209C8"/>
    <w:rsid w:val="0032554E"/>
    <w:rsid w:val="00346453"/>
    <w:rsid w:val="0036403B"/>
    <w:rsid w:val="00387202"/>
    <w:rsid w:val="003D2BB9"/>
    <w:rsid w:val="003E33DC"/>
    <w:rsid w:val="003E5ECC"/>
    <w:rsid w:val="00463261"/>
    <w:rsid w:val="004A50FB"/>
    <w:rsid w:val="005B20A1"/>
    <w:rsid w:val="005E631F"/>
    <w:rsid w:val="0062671D"/>
    <w:rsid w:val="006355CE"/>
    <w:rsid w:val="00691B9C"/>
    <w:rsid w:val="00693EAA"/>
    <w:rsid w:val="006A41A1"/>
    <w:rsid w:val="00700515"/>
    <w:rsid w:val="007150C4"/>
    <w:rsid w:val="007B1762"/>
    <w:rsid w:val="007B46CE"/>
    <w:rsid w:val="007E10AA"/>
    <w:rsid w:val="00833AFB"/>
    <w:rsid w:val="00837EE3"/>
    <w:rsid w:val="008432D8"/>
    <w:rsid w:val="008616E2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D4C51"/>
    <w:rsid w:val="00D924C2"/>
    <w:rsid w:val="00DE0945"/>
    <w:rsid w:val="00E0416B"/>
    <w:rsid w:val="00E23F1D"/>
    <w:rsid w:val="00E9215E"/>
    <w:rsid w:val="00EE3F84"/>
    <w:rsid w:val="00EE642E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5802/aif.2087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1198/0162145050000009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dx.doi.org/10.1002/etc.562019122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81/STA-20002657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projecteuclid.org/euclid.ss/1113832722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6</cp:revision>
  <cp:lastPrinted>2018-10-15T21:32:00Z</cp:lastPrinted>
  <dcterms:created xsi:type="dcterms:W3CDTF">2018-11-05T20:41:00Z</dcterms:created>
  <dcterms:modified xsi:type="dcterms:W3CDTF">2018-11-24T15:38:00Z</dcterms:modified>
</cp:coreProperties>
</file>