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97FBB10" w:rsidR="00833AFB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357CB40E" w14:textId="77777777" w:rsidR="001B7069" w:rsidRPr="00833AFB" w:rsidRDefault="001B7069" w:rsidP="001B706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B7069">
      <w:pPr>
        <w:widowControl w:val="0"/>
        <w:tabs>
          <w:tab w:val="left" w:pos="3158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0508572D" w14:textId="12B2114B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2404C9B1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75858563" w:rsidR="00833AFB" w:rsidRPr="00CD7032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6F77925C" w14:textId="77777777" w:rsidR="00CD7032" w:rsidRPr="00833AFB" w:rsidRDefault="00CD7032" w:rsidP="00CD7032">
      <w:pPr>
        <w:widowControl w:val="0"/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20B01D36" w14:textId="225C85F8" w:rsidR="00445D4F" w:rsidRPr="00833AFB" w:rsidRDefault="00CA6775" w:rsidP="00445D4F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5ECB3C36" w14:textId="7BD50147" w:rsidR="00445D4F" w:rsidRPr="00CA6775" w:rsidRDefault="00445D4F" w:rsidP="005A7027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(201</w:t>
      </w:r>
      <w:r>
        <w:rPr>
          <w:rFonts w:ascii="Arial" w:eastAsia="Arial" w:hAnsi="Arial" w:cs="Arial"/>
          <w:w w:val="105"/>
          <w:sz w:val="20"/>
          <w:szCs w:val="22"/>
        </w:rPr>
        <w:t>9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="000235EE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Journal of Sports Economics) </w:t>
      </w:r>
      <w:hyperlink r:id="rId16" w:history="1">
        <w:r w:rsidR="002C7699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https://papers.ssrn.com/sol3/papers.cfm?abstract_id=3311649</w:t>
        </w:r>
      </w:hyperlink>
      <w:r w:rsidR="009E06D9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5B7D32D9" w14:textId="528C4473" w:rsidR="002412F6" w:rsidRDefault="000235EE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S., Elmore, R., and Strauss, J. (2019)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. Can Machines </w:t>
      </w:r>
      <w:r w:rsidR="00652D7A">
        <w:rPr>
          <w:rFonts w:ascii="Arial" w:eastAsia="Arial" w:hAnsi="Arial" w:cs="Arial"/>
          <w:w w:val="105"/>
          <w:sz w:val="20"/>
          <w:szCs w:val="22"/>
        </w:rPr>
        <w:t xml:space="preserve">Learn Capital Structure? </w:t>
      </w:r>
      <w:hyperlink r:id="rId17" w:history="1">
        <w:r w:rsidR="00FD2318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https://papers.ssrn.com/sol3/papers.cfm?abstract_id=3473322</w:t>
        </w:r>
      </w:hyperlink>
      <w:r w:rsidR="00FD2318">
        <w:rPr>
          <w:rFonts w:ascii="Arial" w:eastAsia="Arial" w:hAnsi="Arial" w:cs="Arial"/>
          <w:sz w:val="20"/>
          <w:szCs w:val="22"/>
        </w:rPr>
        <w:t xml:space="preserve"> </w:t>
      </w:r>
    </w:p>
    <w:p w14:paraId="6A2AC2F2" w14:textId="4DD86080" w:rsidR="00D6445B" w:rsidRPr="002412F6" w:rsidRDefault="00D6445B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(2019). A Causal Take on the Effectiveness of Timeouts in the NBA</w:t>
      </w:r>
      <w:r w:rsidR="00411B2A">
        <w:rPr>
          <w:rFonts w:ascii="Arial" w:eastAsia="Arial" w:hAnsi="Arial" w:cs="Arial"/>
          <w:sz w:val="20"/>
          <w:szCs w:val="22"/>
        </w:rPr>
        <w:t>.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3BDD1E37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1181BFA3" w14:textId="47322765" w:rsidR="005A7027" w:rsidRPr="005A7027" w:rsidRDefault="005A7027" w:rsidP="005A7027">
      <w:pPr>
        <w:pStyle w:val="ListParagraph"/>
        <w:numPr>
          <w:ilvl w:val="0"/>
          <w:numId w:val="28"/>
        </w:numPr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8" w:history="1">
        <w:r w:rsidRPr="007B583A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9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0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19D44BD" w14:textId="3A502BA6" w:rsidR="005C12B2" w:rsidRPr="005C12B2" w:rsidRDefault="005C12B2" w:rsidP="005C12B2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3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72CE2218" w14:textId="77777777" w:rsidR="005A7027" w:rsidRDefault="005A7027" w:rsidP="005A7027">
      <w:pPr>
        <w:rPr>
          <w:rFonts w:ascii="Arial" w:eastAsia="Arial" w:hAnsi="Arial" w:cs="Times New Roman"/>
          <w:sz w:val="20"/>
          <w:szCs w:val="20"/>
        </w:rPr>
      </w:pPr>
    </w:p>
    <w:p w14:paraId="752402D6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776737BC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lastRenderedPageBreak/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38AF792C" w:rsidR="00445A51" w:rsidRPr="009F041F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0589AA55" w14:textId="77777777" w:rsidR="00833AFB" w:rsidRPr="00833AFB" w:rsidRDefault="00833AFB" w:rsidP="00833AFB">
      <w:pPr>
        <w:widowControl w:val="0"/>
        <w:autoSpaceDE w:val="0"/>
        <w:autoSpaceDN w:val="0"/>
        <w:spacing w:before="4"/>
        <w:rPr>
          <w:rFonts w:ascii="Arial" w:eastAsia="Times New Roman" w:hAnsi="Arial" w:cs="Arial"/>
          <w:sz w:val="20"/>
          <w:szCs w:val="20"/>
        </w:rPr>
      </w:pPr>
    </w:p>
    <w:p w14:paraId="19C66F19" w14:textId="77777777" w:rsidR="00B564E3" w:rsidRDefault="00B564E3" w:rsidP="00CB5502">
      <w:pPr>
        <w:rPr>
          <w:rFonts w:ascii="Arial" w:eastAsia="Arial" w:hAnsi="Arial" w:cs="Times New Roman"/>
        </w:rPr>
      </w:pP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03791D7B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100ADB5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05F2405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  <w:bookmarkStart w:id="0" w:name="_GoBack"/>
      <w:bookmarkEnd w:id="0"/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65869" w14:textId="77777777" w:rsidR="00C8302D" w:rsidRDefault="00C8302D" w:rsidP="001E2A25">
      <w:r>
        <w:separator/>
      </w:r>
    </w:p>
  </w:endnote>
  <w:endnote w:type="continuationSeparator" w:id="0">
    <w:p w14:paraId="5ED970EF" w14:textId="77777777" w:rsidR="00C8302D" w:rsidRDefault="00C8302D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190E8" w14:textId="77777777" w:rsidR="00C8302D" w:rsidRDefault="00C8302D" w:rsidP="001E2A25">
      <w:r>
        <w:separator/>
      </w:r>
    </w:p>
  </w:footnote>
  <w:footnote w:type="continuationSeparator" w:id="0">
    <w:p w14:paraId="1DA18BA5" w14:textId="77777777" w:rsidR="00C8302D" w:rsidRDefault="00C8302D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235EE"/>
    <w:rsid w:val="000B59FC"/>
    <w:rsid w:val="000C08E9"/>
    <w:rsid w:val="000F0A6E"/>
    <w:rsid w:val="0016056F"/>
    <w:rsid w:val="00172D95"/>
    <w:rsid w:val="00175C89"/>
    <w:rsid w:val="001B7069"/>
    <w:rsid w:val="001E2A25"/>
    <w:rsid w:val="002006BC"/>
    <w:rsid w:val="00200947"/>
    <w:rsid w:val="0020542C"/>
    <w:rsid w:val="0022127F"/>
    <w:rsid w:val="00223B58"/>
    <w:rsid w:val="002412F6"/>
    <w:rsid w:val="002C5E8B"/>
    <w:rsid w:val="002C6255"/>
    <w:rsid w:val="002C7699"/>
    <w:rsid w:val="002E63D7"/>
    <w:rsid w:val="003209C8"/>
    <w:rsid w:val="003239F3"/>
    <w:rsid w:val="0032554E"/>
    <w:rsid w:val="00346453"/>
    <w:rsid w:val="0036403B"/>
    <w:rsid w:val="00387202"/>
    <w:rsid w:val="003D2BB9"/>
    <w:rsid w:val="003E33DC"/>
    <w:rsid w:val="003E5ECC"/>
    <w:rsid w:val="00411B2A"/>
    <w:rsid w:val="00445A51"/>
    <w:rsid w:val="00445D4F"/>
    <w:rsid w:val="00463261"/>
    <w:rsid w:val="004A50FB"/>
    <w:rsid w:val="004D772E"/>
    <w:rsid w:val="004E2687"/>
    <w:rsid w:val="00597BC9"/>
    <w:rsid w:val="005A7027"/>
    <w:rsid w:val="005B20A1"/>
    <w:rsid w:val="005C070F"/>
    <w:rsid w:val="005C12B2"/>
    <w:rsid w:val="005E631F"/>
    <w:rsid w:val="005F44AE"/>
    <w:rsid w:val="0062671D"/>
    <w:rsid w:val="006355CE"/>
    <w:rsid w:val="0064028F"/>
    <w:rsid w:val="00652D7A"/>
    <w:rsid w:val="00684F1B"/>
    <w:rsid w:val="00691B9C"/>
    <w:rsid w:val="00693EAA"/>
    <w:rsid w:val="006A41A1"/>
    <w:rsid w:val="00700515"/>
    <w:rsid w:val="007150C4"/>
    <w:rsid w:val="0075066F"/>
    <w:rsid w:val="007515EC"/>
    <w:rsid w:val="00790776"/>
    <w:rsid w:val="007B1762"/>
    <w:rsid w:val="007B46CE"/>
    <w:rsid w:val="007E10AA"/>
    <w:rsid w:val="00833AFB"/>
    <w:rsid w:val="00837EE3"/>
    <w:rsid w:val="008432D8"/>
    <w:rsid w:val="008616E2"/>
    <w:rsid w:val="00880B67"/>
    <w:rsid w:val="008B1BB4"/>
    <w:rsid w:val="008E6C0D"/>
    <w:rsid w:val="008F2E79"/>
    <w:rsid w:val="00912901"/>
    <w:rsid w:val="00917E90"/>
    <w:rsid w:val="009215F2"/>
    <w:rsid w:val="00923E8E"/>
    <w:rsid w:val="00943993"/>
    <w:rsid w:val="0097598C"/>
    <w:rsid w:val="009973F8"/>
    <w:rsid w:val="009E06D9"/>
    <w:rsid w:val="009F041F"/>
    <w:rsid w:val="00A03ADB"/>
    <w:rsid w:val="00A04C19"/>
    <w:rsid w:val="00A05600"/>
    <w:rsid w:val="00A32EAF"/>
    <w:rsid w:val="00AC4D79"/>
    <w:rsid w:val="00AE0FB1"/>
    <w:rsid w:val="00AE31C2"/>
    <w:rsid w:val="00AF67A2"/>
    <w:rsid w:val="00B50D55"/>
    <w:rsid w:val="00B564E3"/>
    <w:rsid w:val="00B85E21"/>
    <w:rsid w:val="00BD6B9F"/>
    <w:rsid w:val="00BE2A9E"/>
    <w:rsid w:val="00C07471"/>
    <w:rsid w:val="00C129CF"/>
    <w:rsid w:val="00C335BF"/>
    <w:rsid w:val="00C66FF8"/>
    <w:rsid w:val="00C7707C"/>
    <w:rsid w:val="00C8302D"/>
    <w:rsid w:val="00C9283A"/>
    <w:rsid w:val="00CA6775"/>
    <w:rsid w:val="00CB5502"/>
    <w:rsid w:val="00CC6E0A"/>
    <w:rsid w:val="00CD4C51"/>
    <w:rsid w:val="00CD7032"/>
    <w:rsid w:val="00D6445B"/>
    <w:rsid w:val="00D924C2"/>
    <w:rsid w:val="00DE0945"/>
    <w:rsid w:val="00E0416B"/>
    <w:rsid w:val="00E2312E"/>
    <w:rsid w:val="00E23F1D"/>
    <w:rsid w:val="00E9215E"/>
    <w:rsid w:val="00EE3F84"/>
    <w:rsid w:val="00EE642E"/>
    <w:rsid w:val="00EF2EE7"/>
    <w:rsid w:val="00F508A7"/>
    <w:rsid w:val="00F9053F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TZW5rJ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papers.ssrn.com/sol3/papers.cfm?abstract_id=3473322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311649" TargetMode="External"/><Relationship Id="rId20" Type="http://schemas.openxmlformats.org/officeDocument/2006/relationships/hyperlink" Target="https://www.telegraph.co.uk/news/2019/05/05/loss-aversion-theory-explains-golfers-play-better-harder-holes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wsj.com/articles/what-pebble-beachs-second-hole-reveals-about-the-mind-of-a-golfer-11560600051" TargetMode="External"/><Relationship Id="rId28" Type="http://schemas.openxmlformats.org/officeDocument/2006/relationships/header" Target="head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U2tAd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economist.com/science-and-technology/2019/04/27/how-hard-a-golf-hole-is-does-not-depend-solely-on-how-hard-it-i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3867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39</cp:revision>
  <cp:lastPrinted>2018-10-15T21:32:00Z</cp:lastPrinted>
  <dcterms:created xsi:type="dcterms:W3CDTF">2018-11-05T20:41:00Z</dcterms:created>
  <dcterms:modified xsi:type="dcterms:W3CDTF">2019-11-06T18:02:00Z</dcterms:modified>
</cp:coreProperties>
</file>