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003366"/>
          <w:sz w:val="32"/>
        </w:rPr>
        <w:t>REPUBLICA DOMINICANA</w:t>
      </w:r>
    </w:p>
    <w:p>
      <w:r>
        <w:rPr>
          <w:rFonts w:ascii="Times New Roman" w:hAnsi="Times New Roman"/>
          <w:b w:val="0"/>
          <w:i w:val="0"/>
          <w:sz w:val="12"/>
        </w:rPr>
      </w:r>
    </w:p>
    <w:p>
      <w:pPr>
        <w:jc w:val="center"/>
      </w:pPr>
      <w:r>
        <w:rPr>
          <w:rFonts w:ascii="Times New Roman" w:hAnsi="Times New Roman"/>
          <w:b/>
          <w:i w:val="0"/>
          <w:color w:val="003366"/>
          <w:sz w:val="36"/>
        </w:rPr>
        <w:t>CENTRO INTEGRAL DE CAPACITACION Y EMPRENDIMIENTO</w:t>
      </w:r>
    </w:p>
    <w:p>
      <w:pPr>
        <w:jc w:val="center"/>
      </w:pPr>
      <w:r>
        <w:rPr>
          <w:rFonts w:ascii="Times New Roman" w:hAnsi="Times New Roman"/>
          <w:b/>
          <w:i w:val="0"/>
          <w:color w:val="003366"/>
          <w:sz w:val="36"/>
        </w:rPr>
        <w:t>PARA MADRES SOLTERAS</w:t>
      </w:r>
    </w:p>
    <w:p>
      <w:r>
        <w:rPr>
          <w:rFonts w:ascii="Times New Roman" w:hAnsi="Times New Roman"/>
          <w:b w:val="0"/>
          <w:i w:val="0"/>
          <w:sz w:val="12"/>
        </w:rPr>
      </w:r>
    </w:p>
    <w:p>
      <w:pPr>
        <w:jc w:val="center"/>
      </w:pPr>
      <w:r>
        <w:rPr>
          <w:color w:val="003366"/>
          <w:sz w:val="20"/>
        </w:rPr>
        <w:t>____________________________________________________________</w:t>
      </w:r>
    </w:p>
    <w:p>
      <w:r>
        <w:rPr>
          <w:rFonts w:ascii="Times New Roman" w:hAnsi="Times New Roman"/>
          <w:b w:val="0"/>
          <w:i w:val="0"/>
          <w:sz w:val="12"/>
        </w:rPr>
      </w:r>
    </w:p>
    <w:p>
      <w:pPr>
        <w:jc w:val="center"/>
      </w:pPr>
      <w:r>
        <w:rPr>
          <w:rFonts w:ascii="Times New Roman" w:hAnsi="Times New Roman"/>
          <w:b/>
          <w:i w:val="0"/>
          <w:color w:val="800000"/>
          <w:sz w:val="28"/>
        </w:rPr>
        <w:t>PROPUESTA TECNICA Y FINANCIERA</w:t>
      </w:r>
    </w:p>
    <w:p>
      <w:r>
        <w:rPr>
          <w:rFonts w:ascii="Times New Roman" w:hAnsi="Times New Roman"/>
          <w:b w:val="0"/>
          <w:i w:val="0"/>
          <w:sz w:val="12"/>
        </w:rPr>
      </w:r>
    </w:p>
    <w:p>
      <w:pPr>
        <w:jc w:val="center"/>
      </w:pPr>
      <w:r>
        <w:rPr>
          <w:rFonts w:ascii="Times New Roman" w:hAnsi="Times New Roman"/>
          <w:b w:val="0"/>
          <w:i/>
          <w:sz w:val="24"/>
        </w:rPr>
        <w:t>Formato: BID / PNUD — Modalidad Hibrida</w:t>
      </w:r>
    </w:p>
    <w:p>
      <w:r>
        <w:rPr>
          <w:rFonts w:ascii="Times New Roman" w:hAnsi="Times New Roman"/>
          <w:b w:val="0"/>
          <w:i w:val="0"/>
          <w:sz w:val="20"/>
        </w:rPr>
      </w:r>
    </w:p>
    <w:p>
      <w:pPr>
        <w:jc w:val="center"/>
      </w:pPr>
      <w:r>
        <w:rPr>
          <w:rFonts w:ascii="Times New Roman" w:hAnsi="Times New Roman"/>
          <w:b w:val="0"/>
          <w:i w:val="0"/>
          <w:sz w:val="22"/>
        </w:rPr>
        <w:t>Preparado para presentacion ante:</w:t>
      </w:r>
    </w:p>
    <w:p>
      <w:pPr>
        <w:jc w:val="center"/>
      </w:pPr>
      <w:r>
        <w:rPr>
          <w:rFonts w:ascii="Times New Roman" w:hAnsi="Times New Roman"/>
          <w:b w:val="0"/>
          <w:i w:val="0"/>
          <w:sz w:val="22"/>
        </w:rPr>
        <w:t>Organismos Internacionales de Cooperacion y</w:t>
      </w:r>
    </w:p>
    <w:p>
      <w:pPr>
        <w:jc w:val="center"/>
      </w:pPr>
      <w:r>
        <w:rPr>
          <w:rFonts w:ascii="Times New Roman" w:hAnsi="Times New Roman"/>
          <w:b w:val="0"/>
          <w:i w:val="0"/>
          <w:sz w:val="22"/>
        </w:rPr>
        <w:t>Gobierno de la Republica Dominicana</w:t>
      </w:r>
    </w:p>
    <w:p>
      <w:r>
        <w:rPr>
          <w:rFonts w:ascii="Times New Roman" w:hAnsi="Times New Roman"/>
          <w:b w:val="0"/>
          <w:i w:val="0"/>
          <w:sz w:val="20"/>
        </w:rPr>
      </w:r>
    </w:p>
    <w:p>
      <w:pPr>
        <w:jc w:val="center"/>
      </w:pPr>
      <w:r>
        <w:rPr>
          <w:rFonts w:ascii="Times New Roman" w:hAnsi="Times New Roman"/>
          <w:b w:val="0"/>
          <w:i w:val="0"/>
          <w:sz w:val="24"/>
        </w:rPr>
        <w:t>Santo Domingo, Distrito Nacional, Republica Dominicana</w:t>
      </w:r>
    </w:p>
    <w:p>
      <w:pPr>
        <w:jc w:val="center"/>
      </w:pPr>
      <w:r>
        <w:rPr>
          <w:rFonts w:ascii="Times New Roman" w:hAnsi="Times New Roman"/>
          <w:b w:val="0"/>
          <w:i w:val="0"/>
          <w:sz w:val="24"/>
        </w:rPr>
        <w:t>Junio 2026</w:t>
      </w:r>
    </w:p>
    <w:p>
      <w:r>
        <w:rPr>
          <w:rFonts w:ascii="Times New Roman" w:hAnsi="Times New Roman"/>
          <w:b w:val="0"/>
          <w:i w:val="0"/>
          <w:sz w:val="20"/>
        </w:rPr>
      </w:r>
    </w:p>
    <w:p>
      <w:pPr>
        <w:jc w:val="center"/>
      </w:pPr>
      <w:r>
        <w:rPr>
          <w:color w:val="003366"/>
          <w:sz w:val="20"/>
        </w:rPr>
        <w:t>____________________________________________________________</w:t>
      </w:r>
    </w:p>
    <w:p>
      <w:r>
        <w:rPr>
          <w:rFonts w:ascii="Times New Roman" w:hAnsi="Times New Roman"/>
          <w:b w:val="0"/>
          <w:i w:val="0"/>
          <w:sz w:val="12"/>
        </w:rPr>
      </w:r>
    </w:p>
    <w:p>
      <w:pPr>
        <w:jc w:val="center"/>
      </w:pPr>
      <w:r>
        <w:rPr>
          <w:rFonts w:ascii="Times New Roman" w:hAnsi="Times New Roman"/>
          <w:b/>
          <w:i w:val="0"/>
          <w:color w:val="003366"/>
          <w:sz w:val="24"/>
        </w:rPr>
        <w:t>Presupuesto Total Estimado: RD$ 110,100,000 (US$ 1,870,000)</w:t>
      </w:r>
    </w:p>
    <w:p>
      <w:pPr>
        <w:jc w:val="center"/>
      </w:pPr>
      <w:r>
        <w:rPr>
          <w:rFonts w:ascii="Times New Roman" w:hAnsi="Times New Roman"/>
          <w:b w:val="0"/>
          <w:i w:val="0"/>
          <w:sz w:val="22"/>
        </w:rPr>
        <w:t>Plazo de Ejecucion: 5 anos (60 meses)</w:t>
      </w:r>
    </w:p>
    <w:p>
      <w:pPr>
        <w:jc w:val="center"/>
      </w:pPr>
      <w:r>
        <w:rPr>
          <w:rFonts w:ascii="Times New Roman" w:hAnsi="Times New Roman"/>
          <w:b w:val="0"/>
          <w:i w:val="0"/>
          <w:sz w:val="22"/>
        </w:rPr>
        <w:t>Modalidad de Implementacion: Nacional (NIM) con supervision internacional</w:t>
      </w:r>
    </w:p>
    <w:p>
      <w:pPr>
        <w:jc w:val="center"/>
      </w:pPr>
      <w:r>
        <w:rPr>
          <w:rFonts w:ascii="Times New Roman" w:hAnsi="Times New Roman"/>
          <w:b w:val="0"/>
          <w:i w:val="0"/>
          <w:sz w:val="22"/>
        </w:rPr>
        <w:t>Clasificacion: Cooperacion Tecnica No Reembolsable / Proyecto de Inversion Social</w:t>
      </w:r>
    </w:p>
    <w:p>
      <w:pPr>
        <w:jc w:val="center"/>
      </w:pPr>
      <w:r>
        <w:rPr>
          <w:rFonts w:ascii="Times New Roman" w:hAnsi="Times New Roman"/>
          <w:b w:val="0"/>
          <w:i w:val="0"/>
          <w:sz w:val="22"/>
        </w:rPr>
        <w:t>Sector: Desarrollo Social / Genero / Inclusion Productiva</w:t>
      </w:r>
    </w:p>
    <w:p>
      <w:pPr>
        <w:jc w:val="center"/>
      </w:pPr>
      <w:r>
        <w:rPr>
          <w:rFonts w:ascii="Times New Roman" w:hAnsi="Times New Roman"/>
          <w:b w:val="0"/>
          <w:i w:val="0"/>
          <w:sz w:val="22"/>
        </w:rPr>
        <w:t>ODS Prioritarios: 1, 5, 8, 10</w:t>
      </w:r>
    </w:p>
    <w:p>
      <w:r>
        <w:br w:type="page"/>
      </w:r>
    </w:p>
    <w:p>
      <w:r>
        <w:rPr>
          <w:rFonts w:ascii="Times New Roman" w:hAnsi="Times New Roman"/>
          <w:b w:val="0"/>
          <w:i w:val="0"/>
          <w:sz w:val="24"/>
        </w:rPr>
      </w:r>
    </w:p>
    <w:p>
      <w:pPr>
        <w:jc w:val="center"/>
      </w:pPr>
      <w:r>
        <w:rPr>
          <w:rFonts w:ascii="Times New Roman" w:hAnsi="Times New Roman"/>
          <w:b/>
          <w:i w:val="0"/>
          <w:sz w:val="28"/>
        </w:rPr>
        <w:t>AVISO DE CONFIDENCIALIDAD</w:t>
      </w:r>
    </w:p>
    <w:p>
      <w:r>
        <w:rPr>
          <w:rFonts w:ascii="Times New Roman" w:hAnsi="Times New Roman"/>
          <w:b w:val="0"/>
          <w:i w:val="0"/>
          <w:sz w:val="12"/>
        </w:rPr>
      </w:r>
    </w:p>
    <w:p>
      <w:pPr>
        <w:jc w:val="both"/>
      </w:pPr>
      <w:r>
        <w:rPr>
          <w:rFonts w:ascii="Times New Roman" w:hAnsi="Times New Roman"/>
          <w:b w:val="0"/>
          <w:i w:val="0"/>
          <w:sz w:val="24"/>
        </w:rPr>
        <w:t>Este documento constituye una propuesta tecnica y financiera preliminar. La informacion contenida en el presente documento es de caracter confidencial y ha sido preparada exclusivamente para su evaluacion por las instituciones financiadoras y autoridades gubernamentales competentes.</w:t>
      </w:r>
    </w:p>
    <w:p>
      <w:pPr>
        <w:jc w:val="both"/>
      </w:pPr>
      <w:r>
        <w:rPr>
          <w:rFonts w:ascii="Times New Roman" w:hAnsi="Times New Roman"/>
          <w:b w:val="0"/>
          <w:i w:val="0"/>
          <w:sz w:val="24"/>
        </w:rPr>
        <w:t>Queda prohibida la reproduccion total o parcial, la divulgacion o la distribucion de este documento sin la autorizacion expresa y por escrito de los autores. Las estimaciones presupuestarias, proyecciones y analisis contenidos en este documento se basan en informacion disponible a la fecha de elaboracion y estan sujetas a modificaciones derivadas de estudios de factibilidad, condiciones del mercado y procesos de negociacion.</w:t>
      </w:r>
    </w:p>
    <w:p>
      <w:r>
        <w:rPr>
          <w:rFonts w:ascii="Times New Roman" w:hAnsi="Times New Roman"/>
          <w:b w:val="0"/>
          <w:i w:val="0"/>
          <w:sz w:val="12"/>
        </w:rPr>
      </w:r>
    </w:p>
    <w:p>
      <w:r>
        <w:rPr>
          <w:rFonts w:ascii="Times New Roman" w:hAnsi="Times New Roman"/>
          <w:b/>
          <w:i w:val="0"/>
          <w:sz w:val="22"/>
        </w:rPr>
        <w:t xml:space="preserve">Clasificacion del Documento: </w:t>
      </w:r>
      <w:r>
        <w:rPr>
          <w:rFonts w:ascii="Times New Roman" w:hAnsi="Times New Roman"/>
          <w:b w:val="0"/>
          <w:i w:val="0"/>
          <w:sz w:val="22"/>
        </w:rPr>
        <w:t>Confidencial — Solo para Circulacion Restringida</w:t>
      </w:r>
    </w:p>
    <w:p>
      <w:r>
        <w:rPr>
          <w:rFonts w:ascii="Times New Roman" w:hAnsi="Times New Roman"/>
          <w:b/>
          <w:i w:val="0"/>
          <w:sz w:val="22"/>
        </w:rPr>
        <w:t xml:space="preserve">Version: </w:t>
      </w:r>
      <w:r>
        <w:rPr>
          <w:rFonts w:ascii="Times New Roman" w:hAnsi="Times New Roman"/>
          <w:b w:val="0"/>
          <w:i w:val="0"/>
          <w:sz w:val="22"/>
        </w:rPr>
        <w:t>1.0 — Junio 2026</w:t>
      </w:r>
    </w:p>
    <w:p>
      <w:r>
        <w:rPr>
          <w:rFonts w:ascii="Times New Roman" w:hAnsi="Times New Roman"/>
          <w:b/>
          <w:i w:val="0"/>
          <w:sz w:val="22"/>
        </w:rPr>
        <w:t xml:space="preserve">Estatus: </w:t>
      </w:r>
      <w:r>
        <w:rPr>
          <w:rFonts w:ascii="Times New Roman" w:hAnsi="Times New Roman"/>
          <w:b w:val="0"/>
          <w:i w:val="0"/>
          <w:sz w:val="22"/>
        </w:rPr>
        <w:t>Propuesta Preliminar para Evaluacion</w:t>
      </w:r>
    </w:p>
    <w:p>
      <w:pPr>
        <w:pStyle w:val="Heading1"/>
      </w:pPr>
      <w:r>
        <w:rPr>
          <w:rFonts w:ascii="Times New Roman" w:hAnsi="Times New Roman"/>
        </w:rPr>
        <w:t>RESUMEN EJECUTIVO</w:t>
      </w:r>
    </w:p>
    <w:p>
      <w:r>
        <w:rPr>
          <w:rFonts w:ascii="Times New Roman" w:hAnsi="Times New Roman"/>
          <w:b w:val="0"/>
          <w:i w:val="0"/>
          <w:sz w:val="12"/>
        </w:rPr>
      </w:r>
    </w:p>
    <w:p>
      <w:r>
        <w:rPr>
          <w:rFonts w:ascii="Times New Roman" w:hAnsi="Times New Roman"/>
          <w:b/>
          <w:i w:val="0"/>
          <w:sz w:val="24"/>
        </w:rPr>
        <w:t xml:space="preserve">Titulo del Proyecto: </w:t>
      </w:r>
      <w:r>
        <w:rPr>
          <w:rFonts w:ascii="Times New Roman" w:hAnsi="Times New Roman"/>
          <w:b w:val="0"/>
          <w:i/>
          <w:sz w:val="24"/>
        </w:rPr>
        <w:t>Centro Integral de Capacitacion y Emprendimiento para Madres Solteras</w:t>
      </w:r>
    </w:p>
    <w:p>
      <w:r>
        <w:rPr>
          <w:rFonts w:ascii="Times New Roman" w:hAnsi="Times New Roman"/>
          <w:b/>
          <w:i w:val="0"/>
          <w:sz w:val="24"/>
        </w:rPr>
        <w:t xml:space="preserve">Pais: </w:t>
      </w:r>
      <w:r>
        <w:rPr>
          <w:rFonts w:ascii="Times New Roman" w:hAnsi="Times New Roman"/>
          <w:b w:val="0"/>
          <w:i w:val="0"/>
          <w:sz w:val="24"/>
        </w:rPr>
        <w:t>Republica Dominicana</w:t>
      </w:r>
    </w:p>
    <w:p>
      <w:r>
        <w:rPr>
          <w:rFonts w:ascii="Times New Roman" w:hAnsi="Times New Roman"/>
          <w:b/>
          <w:i w:val="0"/>
          <w:sz w:val="24"/>
        </w:rPr>
        <w:t xml:space="preserve">Ubicacion: </w:t>
      </w:r>
      <w:r>
        <w:rPr>
          <w:rFonts w:ascii="Times New Roman" w:hAnsi="Times New Roman"/>
          <w:b w:val="0"/>
          <w:i w:val="0"/>
          <w:sz w:val="24"/>
        </w:rPr>
        <w:t>Santo Domingo, Distrito Nacional (area metropolitana)</w:t>
      </w:r>
    </w:p>
    <w:p>
      <w:r>
        <w:rPr>
          <w:rFonts w:ascii="Times New Roman" w:hAnsi="Times New Roman"/>
          <w:b/>
          <w:i w:val="0"/>
          <w:sz w:val="24"/>
        </w:rPr>
        <w:t xml:space="preserve">Duracion: </w:t>
      </w:r>
      <w:r>
        <w:rPr>
          <w:rFonts w:ascii="Times New Roman" w:hAnsi="Times New Roman"/>
          <w:b w:val="0"/>
          <w:i w:val="0"/>
          <w:sz w:val="24"/>
        </w:rPr>
        <w:t>5 anos (60 meses)</w:t>
      </w:r>
    </w:p>
    <w:p>
      <w:r>
        <w:rPr>
          <w:rFonts w:ascii="Times New Roman" w:hAnsi="Times New Roman"/>
          <w:b/>
          <w:i w:val="0"/>
          <w:sz w:val="24"/>
        </w:rPr>
        <w:t xml:space="preserve">Presupuesto Total: </w:t>
      </w:r>
      <w:r>
        <w:rPr>
          <w:rFonts w:ascii="Times New Roman" w:hAnsi="Times New Roman"/>
          <w:b w:val="0"/>
          <w:i w:val="0"/>
          <w:sz w:val="24"/>
        </w:rPr>
        <w:t>RD$ 110,100,000 (aproximadamente US$ 1,870,000)</w:t>
      </w:r>
    </w:p>
    <w:p>
      <w:r>
        <w:rPr>
          <w:rFonts w:ascii="Times New Roman" w:hAnsi="Times New Roman"/>
          <w:b/>
          <w:i w:val="0"/>
          <w:sz w:val="24"/>
        </w:rPr>
        <w:t xml:space="preserve">Poblacion Beneficiaria Directa: </w:t>
      </w:r>
      <w:r>
        <w:rPr>
          <w:rFonts w:ascii="Times New Roman" w:hAnsi="Times New Roman"/>
          <w:b w:val="0"/>
          <w:i w:val="0"/>
          <w:sz w:val="24"/>
        </w:rPr>
        <w:t>300-450 madres solteras por ano, 200-400 hijos/as de 0-10 anos</w:t>
      </w:r>
    </w:p>
    <w:p>
      <w:r>
        <w:rPr>
          <w:rFonts w:ascii="Times New Roman" w:hAnsi="Times New Roman"/>
          <w:b/>
          <w:i w:val="0"/>
          <w:sz w:val="24"/>
        </w:rPr>
        <w:t xml:space="preserve">ODS Prioritarios: </w:t>
      </w:r>
      <w:r>
        <w:rPr>
          <w:rFonts w:ascii="Times New Roman" w:hAnsi="Times New Roman"/>
          <w:b w:val="0"/>
          <w:i w:val="0"/>
          <w:sz w:val="24"/>
        </w:rPr>
        <w:t>ODS 1 (Fin de la Pobreza), ODS 5 (Igualdad de Genero), ODS 8 (Trabajo Decente), ODS 10 (Reduccion de Desigualdades)</w:t>
      </w:r>
    </w:p>
    <w:p>
      <w:r>
        <w:rPr>
          <w:rFonts w:ascii="Times New Roman" w:hAnsi="Times New Roman"/>
          <w:b w:val="0"/>
          <w:i w:val="0"/>
          <w:sz w:val="12"/>
        </w:rPr>
      </w:r>
    </w:p>
    <w:p>
      <w:r>
        <w:rPr>
          <w:rFonts w:ascii="Times New Roman" w:hAnsi="Times New Roman"/>
          <w:b/>
          <w:i w:val="0"/>
          <w:color w:val="003366"/>
          <w:sz w:val="24"/>
        </w:rPr>
        <w:t>Antecedentes y Justificacion</w:t>
      </w:r>
    </w:p>
    <w:p>
      <w:pPr>
        <w:jc w:val="both"/>
      </w:pPr>
      <w:r>
        <w:rPr>
          <w:rFonts w:ascii="Times New Roman" w:hAnsi="Times New Roman"/>
          <w:b w:val="0"/>
          <w:i w:val="0"/>
          <w:sz w:val="24"/>
        </w:rPr>
        <w:t>Republica Dominicana ha experimentado un crecimiento economico sostenido del 5.0% en 2024 (Banco Mundial, 2025), con un PIB per capita de US$ 10,875.7. No obstante, persisten desigualdades estructurales que afectan desproporcionadamente a las mujeres: 1.4 millones de hogares se encuentran en situacion de pobreza extrema y moderada (SIUBEN/Superate), y mas del 60% de los beneficiarios de asistencia humanitaria ante emergencias climaticas son hogares encabezados por mujeres (Banco Mundial, 2024). La brecha salarial de genero alcanza el 27% (PNUD, 2022), y el Indice de Desigualdad de Genero (GII) ubica al pais en la posicion 106 de 191 naciones (PNUD, 2021).</w:t>
      </w:r>
    </w:p>
    <w:p>
      <w:r>
        <w:rPr>
          <w:rFonts w:ascii="Times New Roman" w:hAnsi="Times New Roman"/>
          <w:b/>
          <w:i w:val="0"/>
          <w:color w:val="003366"/>
          <w:sz w:val="24"/>
        </w:rPr>
        <w:t>Descripcion del Proyecto</w:t>
      </w:r>
    </w:p>
    <w:p>
      <w:pPr>
        <w:jc w:val="both"/>
      </w:pPr>
      <w:r>
        <w:rPr>
          <w:rFonts w:ascii="Times New Roman" w:hAnsi="Times New Roman"/>
          <w:b w:val="0"/>
          <w:i w:val="0"/>
          <w:sz w:val="24"/>
        </w:rPr>
        <w:t>El proyecto propone la creacion de un centro integral que combine formacion tecnica certificada, capital semilla para emprendimiento, guarderia infantil (0-10 anos) y dispensario medico, en un modelo holistico de intervencion. Con una capacidad de 300 a 450 madres por ano, distribuidas en 2-3 ciclos anuales en 10-15 aulas polivalentes de 10 personas cada una, el centro aborda de manera simultanea las principales barreras que enfrentan las madres solteras para generar ingresos sostenibles: falta de formacion tecnica pertinente, ausencia de cuidado infantil, limitaciones de salud y exclusion financiera.</w:t>
      </w:r>
    </w:p>
    <w:p>
      <w:r>
        <w:rPr>
          <w:rFonts w:ascii="Times New Roman" w:hAnsi="Times New Roman"/>
          <w:b/>
          <w:i w:val="0"/>
          <w:color w:val="003366"/>
          <w:sz w:val="24"/>
        </w:rPr>
        <w:t>Estructura de Financiamiento</w:t>
      </w:r>
    </w:p>
    <w:p>
      <w:pPr>
        <w:jc w:val="both"/>
      </w:pPr>
      <w:r>
        <w:rPr>
          <w:rFonts w:ascii="Times New Roman" w:hAnsi="Times New Roman"/>
          <w:b w:val="0"/>
          <w:i w:val="0"/>
          <w:sz w:val="24"/>
        </w:rPr>
        <w:t>Se propone un esquema de cofinanciamiento con 70% de financiamiento internacional (BID/PNUD), 18% de contrapartida del Gobierno de la Republica Dominicana (Superate, Ministerio de la Mujer, INFOTEP, MEPyD), 8% del sector privado mediante la Ley de Responsabilidad Social, y 4% de aportes en especie. El presupuesto se distribuye en cuatro componentes: Formacion Tecnica Integral (35%), Capital Semilla y Acompanamiento (25%), Servicios Integrales (25%), y Fortalecimiento Institucional (15%).</w:t>
      </w:r>
    </w:p>
    <w:p>
      <w:r>
        <w:rPr>
          <w:rFonts w:ascii="Times New Roman" w:hAnsi="Times New Roman"/>
          <w:b/>
          <w:i w:val="0"/>
          <w:color w:val="003366"/>
          <w:sz w:val="24"/>
        </w:rPr>
        <w:t>Impacto Esperado</w:t>
      </w:r>
    </w:p>
    <w:p>
      <w:pPr>
        <w:pStyle w:val="ListBullet"/>
        <w:spacing w:line="360" w:lineRule="auto"/>
        <w:ind w:left="720"/>
      </w:pPr>
      <w:r>
        <w:rPr>
          <w:rFonts w:ascii="Times New Roman" w:hAnsi="Times New Roman"/>
          <w:sz w:val="24"/>
        </w:rPr>
        <w:t>300-450 madres solteras capacitadas y certificadas anualmente por INFOTEP en oficios tecnicos con demanda de mercado</w:t>
      </w:r>
    </w:p>
    <w:p>
      <w:pPr>
        <w:pStyle w:val="ListBullet"/>
        <w:spacing w:line="360" w:lineRule="auto"/>
        <w:ind w:left="720"/>
      </w:pPr>
      <w:r>
        <w:rPr>
          <w:rFonts w:ascii="Times New Roman" w:hAnsi="Times New Roman"/>
          <w:sz w:val="24"/>
        </w:rPr>
        <w:t>Hasta 120 emprendimientos formales creados o fortalecidos por ano con capital semilla y acompanamiento</w:t>
      </w:r>
    </w:p>
    <w:p>
      <w:pPr>
        <w:pStyle w:val="ListBullet"/>
        <w:spacing w:line="360" w:lineRule="auto"/>
        <w:ind w:left="720"/>
      </w:pPr>
      <w:r>
        <w:rPr>
          <w:rFonts w:ascii="Times New Roman" w:hAnsi="Times New Roman"/>
          <w:sz w:val="24"/>
        </w:rPr>
        <w:t>200-400 ninos de 0-10 anos atendidos en guarderia con alimentacion, estimulacion temprana y apoyo escolar</w:t>
      </w:r>
    </w:p>
    <w:p>
      <w:pPr>
        <w:pStyle w:val="ListBullet"/>
        <w:spacing w:line="360" w:lineRule="auto"/>
        <w:ind w:left="720"/>
      </w:pPr>
      <w:r>
        <w:rPr>
          <w:rFonts w:ascii="Times New Roman" w:hAnsi="Times New Roman"/>
          <w:sz w:val="24"/>
        </w:rPr>
        <w:t>Reduccion progresiva de la dependencia de transferencias condicionadas (Superate) hacia la autonomia economica</w:t>
      </w:r>
    </w:p>
    <w:p>
      <w:pPr>
        <w:pStyle w:val="ListBullet"/>
        <w:spacing w:line="360" w:lineRule="auto"/>
        <w:ind w:left="720"/>
      </w:pPr>
      <w:r>
        <w:rPr>
          <w:rFonts w:ascii="Times New Roman" w:hAnsi="Times New Roman"/>
          <w:sz w:val="24"/>
        </w:rPr>
        <w:t>Modelo replicable y escalable a otras provincias de la Republica Dominicana</w:t>
      </w:r>
    </w:p>
    <w:p>
      <w:pPr>
        <w:pStyle w:val="ListBullet"/>
        <w:spacing w:line="360" w:lineRule="auto"/>
        <w:ind w:left="720"/>
      </w:pPr>
      <w:r>
        <w:rPr>
          <w:rFonts w:ascii="Times New Roman" w:hAnsi="Times New Roman"/>
          <w:sz w:val="24"/>
        </w:rPr>
        <w:t>Retorno social estimado: RD$ 2.50 por cada RD$ 1.00 invertido a 5 anos (proyeccion preliminar)</w:t>
      </w:r>
    </w:p>
    <w:p>
      <w:r>
        <w:br w:type="page"/>
      </w:r>
    </w:p>
    <w:p>
      <w:pPr>
        <w:pStyle w:val="Heading1"/>
      </w:pPr>
      <w:r>
        <w:rPr>
          <w:rFonts w:ascii="Times New Roman" w:hAnsi="Times New Roman"/>
        </w:rPr>
        <w:t>TABLA DE CONTENIDO</w:t>
      </w:r>
    </w:p>
    <w:p>
      <w:r>
        <w:rPr>
          <w:rFonts w:ascii="Times New Roman" w:hAnsi="Times New Roman"/>
          <w:b w:val="0"/>
          <w:i w:val="0"/>
          <w:sz w:val="12"/>
        </w:rPr>
      </w:r>
    </w:p>
    <w:p>
      <w:pPr>
        <w:spacing w:after="40" w:line="312" w:lineRule="auto"/>
      </w:pPr>
      <w:r>
        <w:rPr>
          <w:rFonts w:ascii="Times New Roman" w:hAnsi="Times New Roman"/>
          <w:b/>
          <w:sz w:val="22"/>
        </w:rPr>
        <w:t>RESUMEN EJECUTIVO</w:t>
      </w:r>
      <w:r>
        <w:rPr>
          <w:rFonts w:ascii="Times New Roman" w:hAnsi="Times New Roman"/>
          <w:sz w:val="22"/>
        </w:rPr>
        <w:t xml:space="preserve">  .................................  ii</w:t>
      </w:r>
    </w:p>
    <w:p>
      <w:pPr>
        <w:spacing w:after="40" w:line="312" w:lineRule="auto"/>
      </w:pPr>
      <w:r>
        <w:rPr>
          <w:rFonts w:ascii="Times New Roman" w:hAnsi="Times New Roman"/>
          <w:b/>
          <w:sz w:val="22"/>
        </w:rPr>
        <w:t>1. SIGLAS Y ACRONIMOS</w:t>
      </w:r>
      <w:r>
        <w:rPr>
          <w:rFonts w:ascii="Times New Roman" w:hAnsi="Times New Roman"/>
          <w:sz w:val="22"/>
        </w:rPr>
        <w:t xml:space="preserve">  .............................  1</w:t>
      </w:r>
    </w:p>
    <w:p>
      <w:pPr>
        <w:spacing w:after="40" w:line="312" w:lineRule="auto"/>
      </w:pPr>
      <w:r>
        <w:rPr>
          <w:rFonts w:ascii="Times New Roman" w:hAnsi="Times New Roman"/>
          <w:b/>
          <w:sz w:val="22"/>
        </w:rPr>
        <w:t>2. DIAGNOSTICO SITUACIONAL</w:t>
      </w:r>
      <w:r>
        <w:rPr>
          <w:rFonts w:ascii="Times New Roman" w:hAnsi="Times New Roman"/>
          <w:sz w:val="22"/>
        </w:rPr>
        <w:t xml:space="preserve">  ........................  3</w:t>
      </w:r>
    </w:p>
    <w:p>
      <w:pPr>
        <w:spacing w:after="40" w:line="312" w:lineRule="auto"/>
      </w:pPr>
      <w:r>
        <w:rPr>
          <w:rFonts w:ascii="Times New Roman" w:hAnsi="Times New Roman"/>
          <w:sz w:val="22"/>
        </w:rPr>
        <w:t xml:space="preserve">   2.1 Contexto Socioeconomico Nacional</w:t>
      </w:r>
      <w:r>
        <w:rPr>
          <w:rFonts w:ascii="Times New Roman" w:hAnsi="Times New Roman"/>
          <w:sz w:val="22"/>
        </w:rPr>
        <w:t xml:space="preserve">  ...........  3</w:t>
      </w:r>
    </w:p>
    <w:p>
      <w:pPr>
        <w:spacing w:after="40" w:line="312" w:lineRule="auto"/>
      </w:pPr>
      <w:r>
        <w:rPr>
          <w:rFonts w:ascii="Times New Roman" w:hAnsi="Times New Roman"/>
          <w:sz w:val="22"/>
        </w:rPr>
        <w:t xml:space="preserve">   2.2 Madres Solteras y Jefatura Femenina en RD</w:t>
      </w:r>
      <w:r>
        <w:rPr>
          <w:rFonts w:ascii="Times New Roman" w:hAnsi="Times New Roman"/>
          <w:sz w:val="22"/>
        </w:rPr>
        <w:t xml:space="preserve">  ..  5</w:t>
      </w:r>
    </w:p>
    <w:p>
      <w:pPr>
        <w:spacing w:after="40" w:line="312" w:lineRule="auto"/>
      </w:pPr>
      <w:r>
        <w:rPr>
          <w:rFonts w:ascii="Times New Roman" w:hAnsi="Times New Roman"/>
          <w:sz w:val="22"/>
        </w:rPr>
        <w:t xml:space="preserve">   2.3 Programas Existentes y Brechas Identificadas</w:t>
      </w:r>
      <w:r>
        <w:rPr>
          <w:rFonts w:ascii="Times New Roman" w:hAnsi="Times New Roman"/>
          <w:sz w:val="22"/>
        </w:rPr>
        <w:t xml:space="preserve">    7</w:t>
      </w:r>
    </w:p>
    <w:p>
      <w:pPr>
        <w:spacing w:after="40" w:line="312" w:lineRule="auto"/>
      </w:pPr>
      <w:r>
        <w:rPr>
          <w:rFonts w:ascii="Times New Roman" w:hAnsi="Times New Roman"/>
          <w:sz w:val="22"/>
        </w:rPr>
        <w:t xml:space="preserve">   2.4 Arbol de Problemas</w:t>
      </w:r>
      <w:r>
        <w:rPr>
          <w:rFonts w:ascii="Times New Roman" w:hAnsi="Times New Roman"/>
          <w:sz w:val="22"/>
        </w:rPr>
        <w:t xml:space="preserve">  .........................  8</w:t>
      </w:r>
    </w:p>
    <w:p>
      <w:pPr>
        <w:spacing w:after="40" w:line="312" w:lineRule="auto"/>
      </w:pPr>
      <w:r>
        <w:rPr>
          <w:rFonts w:ascii="Times New Roman" w:hAnsi="Times New Roman"/>
          <w:b/>
          <w:sz w:val="22"/>
        </w:rPr>
        <w:t>3. ALINEACION ESTRATEGICA</w:t>
      </w:r>
      <w:r>
        <w:rPr>
          <w:rFonts w:ascii="Times New Roman" w:hAnsi="Times New Roman"/>
          <w:sz w:val="22"/>
        </w:rPr>
        <w:t xml:space="preserve">  .........................  9</w:t>
      </w:r>
    </w:p>
    <w:p>
      <w:pPr>
        <w:spacing w:after="40" w:line="312" w:lineRule="auto"/>
      </w:pPr>
      <w:r>
        <w:rPr>
          <w:rFonts w:ascii="Times New Roman" w:hAnsi="Times New Roman"/>
          <w:b/>
          <w:sz w:val="22"/>
        </w:rPr>
        <w:t>4. TEORIA DE CAMBIO</w:t>
      </w:r>
      <w:r>
        <w:rPr>
          <w:rFonts w:ascii="Times New Roman" w:hAnsi="Times New Roman"/>
          <w:sz w:val="22"/>
        </w:rPr>
        <w:t xml:space="preserve">  ...............................  11</w:t>
      </w:r>
    </w:p>
    <w:p>
      <w:pPr>
        <w:spacing w:after="40" w:line="312" w:lineRule="auto"/>
      </w:pPr>
      <w:r>
        <w:rPr>
          <w:rFonts w:ascii="Times New Roman" w:hAnsi="Times New Roman"/>
          <w:b/>
          <w:sz w:val="22"/>
        </w:rPr>
        <w:t>5. MARCO LOGICO / RESULTS FRAMEWORK</w:t>
      </w:r>
      <w:r>
        <w:rPr>
          <w:rFonts w:ascii="Times New Roman" w:hAnsi="Times New Roman"/>
          <w:sz w:val="22"/>
        </w:rPr>
        <w:t xml:space="preserve">  ...............  13</w:t>
      </w:r>
    </w:p>
    <w:p>
      <w:pPr>
        <w:spacing w:after="40" w:line="312" w:lineRule="auto"/>
      </w:pPr>
      <w:r>
        <w:rPr>
          <w:rFonts w:ascii="Times New Roman" w:hAnsi="Times New Roman"/>
          <w:b/>
          <w:sz w:val="22"/>
        </w:rPr>
        <w:t>6. COMPONENTES DEL PROYECTO</w:t>
      </w:r>
      <w:r>
        <w:rPr>
          <w:rFonts w:ascii="Times New Roman" w:hAnsi="Times New Roman"/>
          <w:sz w:val="22"/>
        </w:rPr>
        <w:t xml:space="preserve">  .......................  15</w:t>
      </w:r>
    </w:p>
    <w:p>
      <w:pPr>
        <w:spacing w:after="40" w:line="312" w:lineRule="auto"/>
      </w:pPr>
      <w:r>
        <w:rPr>
          <w:rFonts w:ascii="Times New Roman" w:hAnsi="Times New Roman"/>
          <w:sz w:val="22"/>
        </w:rPr>
        <w:t xml:space="preserve">   6.1 Componente 1: Formacion Tecnica Integral</w:t>
      </w:r>
      <w:r>
        <w:rPr>
          <w:rFonts w:ascii="Times New Roman" w:hAnsi="Times New Roman"/>
          <w:sz w:val="22"/>
        </w:rPr>
        <w:t xml:space="preserve">  ...  15</w:t>
      </w:r>
    </w:p>
    <w:p>
      <w:pPr>
        <w:spacing w:after="40" w:line="312" w:lineRule="auto"/>
      </w:pPr>
      <w:r>
        <w:rPr>
          <w:rFonts w:ascii="Times New Roman" w:hAnsi="Times New Roman"/>
          <w:sz w:val="22"/>
        </w:rPr>
        <w:t xml:space="preserve">   6.2 Componente 2: Capital Semilla y Acompanamiento</w:t>
      </w:r>
      <w:r>
        <w:rPr>
          <w:rFonts w:ascii="Times New Roman" w:hAnsi="Times New Roman"/>
          <w:sz w:val="22"/>
        </w:rPr>
        <w:t xml:space="preserve">    17</w:t>
      </w:r>
    </w:p>
    <w:p>
      <w:pPr>
        <w:spacing w:after="40" w:line="312" w:lineRule="auto"/>
      </w:pPr>
      <w:r>
        <w:rPr>
          <w:rFonts w:ascii="Times New Roman" w:hAnsi="Times New Roman"/>
          <w:sz w:val="22"/>
        </w:rPr>
        <w:t xml:space="preserve">   6.3 Componente 3: Servicios Integrales</w:t>
      </w:r>
      <w:r>
        <w:rPr>
          <w:rFonts w:ascii="Times New Roman" w:hAnsi="Times New Roman"/>
          <w:sz w:val="22"/>
        </w:rPr>
        <w:t xml:space="preserve">  .........  19</w:t>
      </w:r>
    </w:p>
    <w:p>
      <w:pPr>
        <w:spacing w:after="40" w:line="312" w:lineRule="auto"/>
      </w:pPr>
      <w:r>
        <w:rPr>
          <w:rFonts w:ascii="Times New Roman" w:hAnsi="Times New Roman"/>
          <w:sz w:val="22"/>
        </w:rPr>
        <w:t xml:space="preserve">   6.4 Componente 4: Fortalecimiento Institucional</w:t>
      </w:r>
      <w:r>
        <w:rPr>
          <w:rFonts w:ascii="Times New Roman" w:hAnsi="Times New Roman"/>
          <w:sz w:val="22"/>
        </w:rPr>
        <w:t xml:space="preserve">    21</w:t>
      </w:r>
    </w:p>
    <w:p>
      <w:pPr>
        <w:spacing w:after="40" w:line="312" w:lineRule="auto"/>
      </w:pPr>
      <w:r>
        <w:rPr>
          <w:rFonts w:ascii="Times New Roman" w:hAnsi="Times New Roman"/>
          <w:b/>
          <w:sz w:val="22"/>
        </w:rPr>
        <w:t>7. PRESUPUESTO</w:t>
      </w:r>
      <w:r>
        <w:rPr>
          <w:rFonts w:ascii="Times New Roman" w:hAnsi="Times New Roman"/>
          <w:sz w:val="22"/>
        </w:rPr>
        <w:t xml:space="preserve">  ....................................  23</w:t>
      </w:r>
    </w:p>
    <w:p>
      <w:pPr>
        <w:spacing w:after="40" w:line="312" w:lineRule="auto"/>
      </w:pPr>
      <w:r>
        <w:rPr>
          <w:rFonts w:ascii="Times New Roman" w:hAnsi="Times New Roman"/>
          <w:sz w:val="22"/>
        </w:rPr>
        <w:t xml:space="preserve">   7.1 Vista por Componente (Formato BID)</w:t>
      </w:r>
      <w:r>
        <w:rPr>
          <w:rFonts w:ascii="Times New Roman" w:hAnsi="Times New Roman"/>
          <w:sz w:val="22"/>
        </w:rPr>
        <w:t xml:space="preserve">  .........  23</w:t>
      </w:r>
    </w:p>
    <w:p>
      <w:pPr>
        <w:spacing w:after="40" w:line="312" w:lineRule="auto"/>
      </w:pPr>
      <w:r>
        <w:rPr>
          <w:rFonts w:ascii="Times New Roman" w:hAnsi="Times New Roman"/>
          <w:sz w:val="22"/>
        </w:rPr>
        <w:t xml:space="preserve">   7.2 Vista por Ano (Flujo de Caja)</w:t>
      </w:r>
      <w:r>
        <w:rPr>
          <w:rFonts w:ascii="Times New Roman" w:hAnsi="Times New Roman"/>
          <w:sz w:val="22"/>
        </w:rPr>
        <w:t xml:space="preserve">  ..............  24</w:t>
      </w:r>
    </w:p>
    <w:p>
      <w:pPr>
        <w:spacing w:after="40" w:line="312" w:lineRule="auto"/>
      </w:pPr>
      <w:r>
        <w:rPr>
          <w:rFonts w:ascii="Times New Roman" w:hAnsi="Times New Roman"/>
          <w:sz w:val="22"/>
        </w:rPr>
        <w:t xml:space="preserve">   7.3 Vista por Categoria de Gasto (Formato PNUD Quantum)</w:t>
      </w:r>
      <w:r>
        <w:rPr>
          <w:rFonts w:ascii="Times New Roman" w:hAnsi="Times New Roman"/>
          <w:sz w:val="22"/>
        </w:rPr>
        <w:t xml:space="preserve">    25</w:t>
      </w:r>
    </w:p>
    <w:p>
      <w:pPr>
        <w:spacing w:after="40" w:line="312" w:lineRule="auto"/>
      </w:pPr>
      <w:r>
        <w:rPr>
          <w:rFonts w:ascii="Times New Roman" w:hAnsi="Times New Roman"/>
          <w:b/>
          <w:sz w:val="22"/>
        </w:rPr>
        <w:t>8. PLAN DE FINANCIAMIENTO</w:t>
      </w:r>
      <w:r>
        <w:rPr>
          <w:rFonts w:ascii="Times New Roman" w:hAnsi="Times New Roman"/>
          <w:sz w:val="22"/>
        </w:rPr>
        <w:t xml:space="preserve">  .........................  27</w:t>
      </w:r>
    </w:p>
    <w:p>
      <w:pPr>
        <w:spacing w:after="40" w:line="312" w:lineRule="auto"/>
      </w:pPr>
      <w:r>
        <w:rPr>
          <w:rFonts w:ascii="Times New Roman" w:hAnsi="Times New Roman"/>
          <w:b/>
          <w:sz w:val="22"/>
        </w:rPr>
        <w:t>9. CRONOGRAMA DE EJECUCION</w:t>
      </w:r>
      <w:r>
        <w:rPr>
          <w:rFonts w:ascii="Times New Roman" w:hAnsi="Times New Roman"/>
          <w:sz w:val="22"/>
        </w:rPr>
        <w:t xml:space="preserve">  ........................  29</w:t>
      </w:r>
    </w:p>
    <w:p>
      <w:pPr>
        <w:spacing w:after="40" w:line="312" w:lineRule="auto"/>
      </w:pPr>
      <w:r>
        <w:rPr>
          <w:rFonts w:ascii="Times New Roman" w:hAnsi="Times New Roman"/>
          <w:b/>
          <w:sz w:val="22"/>
        </w:rPr>
        <w:t>10. ARREGLOS DE IMPLEMENTACION</w:t>
      </w:r>
      <w:r>
        <w:rPr>
          <w:rFonts w:ascii="Times New Roman" w:hAnsi="Times New Roman"/>
          <w:sz w:val="22"/>
        </w:rPr>
        <w:t xml:space="preserve">  ....................  31</w:t>
      </w:r>
    </w:p>
    <w:p>
      <w:pPr>
        <w:spacing w:after="40" w:line="312" w:lineRule="auto"/>
      </w:pPr>
      <w:r>
        <w:rPr>
          <w:rFonts w:ascii="Times New Roman" w:hAnsi="Times New Roman"/>
          <w:b/>
          <w:sz w:val="22"/>
        </w:rPr>
        <w:t>11. PLAN DE MONITOREO Y EVALUACION</w:t>
      </w:r>
      <w:r>
        <w:rPr>
          <w:rFonts w:ascii="Times New Roman" w:hAnsi="Times New Roman"/>
          <w:sz w:val="22"/>
        </w:rPr>
        <w:t xml:space="preserve">  ................  33</w:t>
      </w:r>
    </w:p>
    <w:p>
      <w:pPr>
        <w:spacing w:after="40" w:line="312" w:lineRule="auto"/>
      </w:pPr>
      <w:r>
        <w:rPr>
          <w:rFonts w:ascii="Times New Roman" w:hAnsi="Times New Roman"/>
          <w:b/>
          <w:sz w:val="22"/>
        </w:rPr>
        <w:t>12. SALVAGUARDAS AMBIENTALES, SOCIALES Y DE GENERO</w:t>
      </w:r>
      <w:r>
        <w:rPr>
          <w:rFonts w:ascii="Times New Roman" w:hAnsi="Times New Roman"/>
          <w:sz w:val="22"/>
        </w:rPr>
        <w:t xml:space="preserve">    35</w:t>
      </w:r>
    </w:p>
    <w:p>
      <w:pPr>
        <w:spacing w:after="40" w:line="312" w:lineRule="auto"/>
      </w:pPr>
      <w:r>
        <w:rPr>
          <w:rFonts w:ascii="Times New Roman" w:hAnsi="Times New Roman"/>
          <w:b/>
          <w:sz w:val="22"/>
        </w:rPr>
        <w:t>13. MATRIZ DE RIESGOS</w:t>
      </w:r>
      <w:r>
        <w:rPr>
          <w:rFonts w:ascii="Times New Roman" w:hAnsi="Times New Roman"/>
          <w:sz w:val="22"/>
        </w:rPr>
        <w:t xml:space="preserve">  .............................  37</w:t>
      </w:r>
    </w:p>
    <w:p>
      <w:pPr>
        <w:spacing w:after="40" w:line="312" w:lineRule="auto"/>
      </w:pPr>
      <w:r>
        <w:rPr>
          <w:rFonts w:ascii="Times New Roman" w:hAnsi="Times New Roman"/>
          <w:b/>
          <w:sz w:val="22"/>
        </w:rPr>
        <w:t>14. ANALISIS DE SOSTENIBILIDAD</w:t>
      </w:r>
      <w:r>
        <w:rPr>
          <w:rFonts w:ascii="Times New Roman" w:hAnsi="Times New Roman"/>
          <w:sz w:val="22"/>
        </w:rPr>
        <w:t xml:space="preserve">  ....................  39</w:t>
      </w:r>
    </w:p>
    <w:p>
      <w:pPr>
        <w:spacing w:after="40" w:line="312" w:lineRule="auto"/>
      </w:pPr>
      <w:r>
        <w:rPr>
          <w:rFonts w:ascii="Times New Roman" w:hAnsi="Times New Roman"/>
          <w:b/>
          <w:sz w:val="22"/>
        </w:rPr>
        <w:t>15. CONCLUSIONES Y RECOMENDACIONES</w:t>
      </w:r>
      <w:r>
        <w:rPr>
          <w:rFonts w:ascii="Times New Roman" w:hAnsi="Times New Roman"/>
          <w:sz w:val="22"/>
        </w:rPr>
        <w:t xml:space="preserve">  ................  41</w:t>
      </w:r>
    </w:p>
    <w:p>
      <w:pPr>
        <w:spacing w:after="40" w:line="312" w:lineRule="auto"/>
      </w:pPr>
      <w:r>
        <w:rPr>
          <w:rFonts w:ascii="Times New Roman" w:hAnsi="Times New Roman"/>
          <w:b/>
          <w:sz w:val="22"/>
        </w:rPr>
        <w:t>REFERENCIAS BIBLIOGRAFICAS</w:t>
      </w:r>
      <w:r>
        <w:rPr>
          <w:rFonts w:ascii="Times New Roman" w:hAnsi="Times New Roman"/>
          <w:sz w:val="22"/>
        </w:rPr>
        <w:t xml:space="preserve">  ........................  43</w:t>
      </w:r>
    </w:p>
    <w:p>
      <w:pPr>
        <w:spacing w:after="40" w:line="312" w:lineRule="auto"/>
      </w:pPr>
      <w:r>
        <w:rPr>
          <w:rFonts w:ascii="Times New Roman" w:hAnsi="Times New Roman"/>
          <w:b/>
          <w:sz w:val="22"/>
        </w:rPr>
        <w:t>ANEXOS</w:t>
      </w:r>
      <w:r>
        <w:rPr>
          <w:rFonts w:ascii="Times New Roman" w:hAnsi="Times New Roman"/>
          <w:sz w:val="22"/>
        </w:rPr>
        <w:t xml:space="preserve">  ............................................  45</w:t>
      </w:r>
    </w:p>
    <w:p>
      <w:pPr>
        <w:pStyle w:val="Heading1"/>
      </w:pPr>
      <w:r>
        <w:rPr>
          <w:rFonts w:ascii="Times New Roman" w:hAnsi="Times New Roman"/>
        </w:rPr>
        <w:t>1. SIGLAS Y ACRONIMOS</w:t>
      </w:r>
    </w:p>
    <w:p>
      <w:pPr>
        <w:jc w:val="both"/>
      </w:pPr>
      <w:r>
        <w:rPr>
          <w:rFonts w:ascii="Times New Roman" w:hAnsi="Times New Roman"/>
          <w:b w:val="0"/>
          <w:i w:val="0"/>
          <w:sz w:val="24"/>
        </w:rPr>
        <w:t>A continuacion se presentan las siglas y acronimos utilizados en el presente documento:</w:t>
      </w:r>
    </w:p>
    <w:p>
      <w:r>
        <w:rPr>
          <w:rFonts w:ascii="Times New Roman" w:hAnsi="Times New Roman"/>
          <w:b w:val="0"/>
          <w:i w:val="0"/>
          <w:sz w:val="8"/>
        </w:rPr>
      </w:r>
    </w:p>
    <w:tbl>
      <w:tblPr>
        <w:tblStyle w:val="TableGrid"/>
        <w:tblW w:type="auto" w:w="0"/>
        <w:jc w:val="center"/>
        <w:tblLook w:firstColumn="1" w:firstRow="1" w:lastColumn="0" w:lastRow="0" w:noHBand="0" w:noVBand="1" w:val="04A0"/>
      </w:tblPr>
      <w:tblGrid>
        <w:gridCol w:w="4498"/>
        <w:gridCol w:w="4498"/>
      </w:tblGrid>
      <w:tr>
        <w:tc>
          <w:tcPr>
            <w:tcW w:type="dxa" w:w="2268"/>
            <w:shd w:fill="003366" w:val="clear"/>
          </w:tcPr>
          <w:p>
            <w:pPr>
              <w:jc w:val="center"/>
            </w:pPr>
            <w:r/>
            <w:r>
              <w:rPr>
                <w:rFonts w:ascii="Times New Roman" w:hAnsi="Times New Roman"/>
                <w:b/>
                <w:color w:val="FFFFFF"/>
                <w:sz w:val="20"/>
              </w:rPr>
              <w:t>Sigla</w:t>
            </w:r>
          </w:p>
        </w:tc>
        <w:tc>
          <w:tcPr>
            <w:tcW w:type="dxa" w:w="7937"/>
            <w:shd w:fill="003366" w:val="clear"/>
          </w:tcPr>
          <w:p>
            <w:pPr>
              <w:jc w:val="center"/>
            </w:pPr>
            <w:r/>
            <w:r>
              <w:rPr>
                <w:rFonts w:ascii="Times New Roman" w:hAnsi="Times New Roman"/>
                <w:b/>
                <w:color w:val="FFFFFF"/>
                <w:sz w:val="20"/>
              </w:rPr>
              <w:t>Significado</w:t>
            </w:r>
          </w:p>
        </w:tc>
      </w:tr>
      <w:tr>
        <w:tc>
          <w:tcPr>
            <w:tcW w:type="dxa" w:w="2268"/>
          </w:tcPr>
          <w:p>
            <w:r/>
            <w:r>
              <w:rPr>
                <w:rFonts w:ascii="Times New Roman" w:hAnsi="Times New Roman"/>
                <w:b/>
                <w:sz w:val="20"/>
              </w:rPr>
              <w:t>ASG</w:t>
            </w:r>
          </w:p>
        </w:tc>
        <w:tc>
          <w:tcPr>
            <w:tcW w:type="dxa" w:w="7937"/>
          </w:tcPr>
          <w:p>
            <w:r/>
            <w:r>
              <w:rPr>
                <w:rFonts w:ascii="Times New Roman" w:hAnsi="Times New Roman"/>
                <w:sz w:val="20"/>
              </w:rPr>
              <w:t>Ambientales, Sociales y de Genero</w:t>
            </w:r>
          </w:p>
        </w:tc>
      </w:tr>
      <w:tr>
        <w:tc>
          <w:tcPr>
            <w:tcW w:type="dxa" w:w="2268"/>
          </w:tcPr>
          <w:p>
            <w:r/>
            <w:r>
              <w:rPr>
                <w:rFonts w:ascii="Times New Roman" w:hAnsi="Times New Roman"/>
                <w:b/>
                <w:sz w:val="20"/>
              </w:rPr>
              <w:t>BID</w:t>
            </w:r>
          </w:p>
        </w:tc>
        <w:tc>
          <w:tcPr>
            <w:tcW w:type="dxa" w:w="7937"/>
          </w:tcPr>
          <w:p>
            <w:r/>
            <w:r>
              <w:rPr>
                <w:rFonts w:ascii="Times New Roman" w:hAnsi="Times New Roman"/>
                <w:sz w:val="20"/>
              </w:rPr>
              <w:t>Banco Interamericano de Desarrollo</w:t>
            </w:r>
          </w:p>
        </w:tc>
      </w:tr>
      <w:tr>
        <w:tc>
          <w:tcPr>
            <w:tcW w:type="dxa" w:w="2268"/>
          </w:tcPr>
          <w:p>
            <w:r/>
            <w:r>
              <w:rPr>
                <w:rFonts w:ascii="Times New Roman" w:hAnsi="Times New Roman"/>
                <w:b/>
                <w:sz w:val="20"/>
              </w:rPr>
              <w:t>CAF</w:t>
            </w:r>
          </w:p>
        </w:tc>
        <w:tc>
          <w:tcPr>
            <w:tcW w:type="dxa" w:w="7937"/>
          </w:tcPr>
          <w:p>
            <w:r/>
            <w:r>
              <w:rPr>
                <w:rFonts w:ascii="Times New Roman" w:hAnsi="Times New Roman"/>
                <w:sz w:val="20"/>
              </w:rPr>
              <w:t>Corporacion Andina de Fomento</w:t>
            </w:r>
          </w:p>
        </w:tc>
      </w:tr>
      <w:tr>
        <w:tc>
          <w:tcPr>
            <w:tcW w:type="dxa" w:w="2268"/>
          </w:tcPr>
          <w:p>
            <w:r/>
            <w:r>
              <w:rPr>
                <w:rFonts w:ascii="Times New Roman" w:hAnsi="Times New Roman"/>
                <w:b/>
                <w:sz w:val="20"/>
              </w:rPr>
              <w:t>CEDAW</w:t>
            </w:r>
          </w:p>
        </w:tc>
        <w:tc>
          <w:tcPr>
            <w:tcW w:type="dxa" w:w="7937"/>
          </w:tcPr>
          <w:p>
            <w:r/>
            <w:r>
              <w:rPr>
                <w:rFonts w:ascii="Times New Roman" w:hAnsi="Times New Roman"/>
                <w:sz w:val="20"/>
              </w:rPr>
              <w:t>Convencion sobre la Eliminacion de todas las formas de Discriminacion contra la Mujer</w:t>
            </w:r>
          </w:p>
        </w:tc>
      </w:tr>
      <w:tr>
        <w:tc>
          <w:tcPr>
            <w:tcW w:type="dxa" w:w="2268"/>
          </w:tcPr>
          <w:p>
            <w:r/>
            <w:r>
              <w:rPr>
                <w:rFonts w:ascii="Times New Roman" w:hAnsi="Times New Roman"/>
                <w:b/>
                <w:sz w:val="20"/>
              </w:rPr>
              <w:t>CEPAL</w:t>
            </w:r>
          </w:p>
        </w:tc>
        <w:tc>
          <w:tcPr>
            <w:tcW w:type="dxa" w:w="7937"/>
          </w:tcPr>
          <w:p>
            <w:r/>
            <w:r>
              <w:rPr>
                <w:rFonts w:ascii="Times New Roman" w:hAnsi="Times New Roman"/>
                <w:sz w:val="20"/>
              </w:rPr>
              <w:t>Comision Economica para America Latina y el Caribe</w:t>
            </w:r>
          </w:p>
        </w:tc>
      </w:tr>
      <w:tr>
        <w:tc>
          <w:tcPr>
            <w:tcW w:type="dxa" w:w="2268"/>
          </w:tcPr>
          <w:p>
            <w:r/>
            <w:r>
              <w:rPr>
                <w:rFonts w:ascii="Times New Roman" w:hAnsi="Times New Roman"/>
                <w:b/>
                <w:sz w:val="20"/>
              </w:rPr>
              <w:t>END 2030</w:t>
            </w:r>
          </w:p>
        </w:tc>
        <w:tc>
          <w:tcPr>
            <w:tcW w:type="dxa" w:w="7937"/>
          </w:tcPr>
          <w:p>
            <w:r/>
            <w:r>
              <w:rPr>
                <w:rFonts w:ascii="Times New Roman" w:hAnsi="Times New Roman"/>
                <w:sz w:val="20"/>
              </w:rPr>
              <w:t>Estrategia Nacional de Desarrollo 2030</w:t>
            </w:r>
          </w:p>
        </w:tc>
      </w:tr>
      <w:tr>
        <w:tc>
          <w:tcPr>
            <w:tcW w:type="dxa" w:w="2268"/>
          </w:tcPr>
          <w:p>
            <w:r/>
            <w:r>
              <w:rPr>
                <w:rFonts w:ascii="Times New Roman" w:hAnsi="Times New Roman"/>
                <w:b/>
                <w:sz w:val="20"/>
              </w:rPr>
              <w:t>ENCFT</w:t>
            </w:r>
          </w:p>
        </w:tc>
        <w:tc>
          <w:tcPr>
            <w:tcW w:type="dxa" w:w="7937"/>
          </w:tcPr>
          <w:p>
            <w:r/>
            <w:r>
              <w:rPr>
                <w:rFonts w:ascii="Times New Roman" w:hAnsi="Times New Roman"/>
                <w:sz w:val="20"/>
              </w:rPr>
              <w:t>Encuesta Nacional Continua de Fuerza de Trabajo (Banco Central)</w:t>
            </w:r>
          </w:p>
        </w:tc>
      </w:tr>
      <w:tr>
        <w:tc>
          <w:tcPr>
            <w:tcW w:type="dxa" w:w="2268"/>
          </w:tcPr>
          <w:p>
            <w:r/>
            <w:r>
              <w:rPr>
                <w:rFonts w:ascii="Times New Roman" w:hAnsi="Times New Roman"/>
                <w:b/>
                <w:sz w:val="20"/>
              </w:rPr>
              <w:t>GII</w:t>
            </w:r>
          </w:p>
        </w:tc>
        <w:tc>
          <w:tcPr>
            <w:tcW w:type="dxa" w:w="7937"/>
          </w:tcPr>
          <w:p>
            <w:r/>
            <w:r>
              <w:rPr>
                <w:rFonts w:ascii="Times New Roman" w:hAnsi="Times New Roman"/>
                <w:sz w:val="20"/>
              </w:rPr>
              <w:t>Indice de Desigualdad de Genero (Gender Inequality Index)</w:t>
            </w:r>
          </w:p>
        </w:tc>
      </w:tr>
      <w:tr>
        <w:tc>
          <w:tcPr>
            <w:tcW w:type="dxa" w:w="2268"/>
          </w:tcPr>
          <w:p>
            <w:r/>
            <w:r>
              <w:rPr>
                <w:rFonts w:ascii="Times New Roman" w:hAnsi="Times New Roman"/>
                <w:b/>
                <w:sz w:val="20"/>
              </w:rPr>
              <w:t>ICV</w:t>
            </w:r>
          </w:p>
        </w:tc>
        <w:tc>
          <w:tcPr>
            <w:tcW w:type="dxa" w:w="7937"/>
          </w:tcPr>
          <w:p>
            <w:r/>
            <w:r>
              <w:rPr>
                <w:rFonts w:ascii="Times New Roman" w:hAnsi="Times New Roman"/>
                <w:sz w:val="20"/>
              </w:rPr>
              <w:t>Indice de Calidad de Vida (SIUBEN)</w:t>
            </w:r>
          </w:p>
        </w:tc>
      </w:tr>
      <w:tr>
        <w:tc>
          <w:tcPr>
            <w:tcW w:type="dxa" w:w="2268"/>
          </w:tcPr>
          <w:p>
            <w:r/>
            <w:r>
              <w:rPr>
                <w:rFonts w:ascii="Times New Roman" w:hAnsi="Times New Roman"/>
                <w:b/>
                <w:sz w:val="20"/>
              </w:rPr>
              <w:t>INFOTEP</w:t>
            </w:r>
          </w:p>
        </w:tc>
        <w:tc>
          <w:tcPr>
            <w:tcW w:type="dxa" w:w="7937"/>
          </w:tcPr>
          <w:p>
            <w:r/>
            <w:r>
              <w:rPr>
                <w:rFonts w:ascii="Times New Roman" w:hAnsi="Times New Roman"/>
                <w:sz w:val="20"/>
              </w:rPr>
              <w:t>Instituto Nacional de Formacion Tecnico Profesional</w:t>
            </w:r>
          </w:p>
        </w:tc>
      </w:tr>
      <w:tr>
        <w:tc>
          <w:tcPr>
            <w:tcW w:type="dxa" w:w="2268"/>
          </w:tcPr>
          <w:p>
            <w:r/>
            <w:r>
              <w:rPr>
                <w:rFonts w:ascii="Times New Roman" w:hAnsi="Times New Roman"/>
                <w:b/>
                <w:sz w:val="20"/>
              </w:rPr>
              <w:t>M&amp;E</w:t>
            </w:r>
          </w:p>
        </w:tc>
        <w:tc>
          <w:tcPr>
            <w:tcW w:type="dxa" w:w="7937"/>
          </w:tcPr>
          <w:p>
            <w:r/>
            <w:r>
              <w:rPr>
                <w:rFonts w:ascii="Times New Roman" w:hAnsi="Times New Roman"/>
                <w:sz w:val="20"/>
              </w:rPr>
              <w:t>Monitoreo y Evaluacion</w:t>
            </w:r>
          </w:p>
        </w:tc>
      </w:tr>
      <w:tr>
        <w:tc>
          <w:tcPr>
            <w:tcW w:type="dxa" w:w="2268"/>
          </w:tcPr>
          <w:p>
            <w:r/>
            <w:r>
              <w:rPr>
                <w:rFonts w:ascii="Times New Roman" w:hAnsi="Times New Roman"/>
                <w:b/>
                <w:sz w:val="20"/>
              </w:rPr>
              <w:t>MEPyD</w:t>
            </w:r>
          </w:p>
        </w:tc>
        <w:tc>
          <w:tcPr>
            <w:tcW w:type="dxa" w:w="7937"/>
          </w:tcPr>
          <w:p>
            <w:r/>
            <w:r>
              <w:rPr>
                <w:rFonts w:ascii="Times New Roman" w:hAnsi="Times New Roman"/>
                <w:sz w:val="20"/>
              </w:rPr>
              <w:t>Ministerio de Economia, Planificacion y Desarrollo</w:t>
            </w:r>
          </w:p>
        </w:tc>
      </w:tr>
      <w:tr>
        <w:tc>
          <w:tcPr>
            <w:tcW w:type="dxa" w:w="2268"/>
          </w:tcPr>
          <w:p>
            <w:r/>
            <w:r>
              <w:rPr>
                <w:rFonts w:ascii="Times New Roman" w:hAnsi="Times New Roman"/>
                <w:b/>
                <w:sz w:val="20"/>
              </w:rPr>
              <w:t>MICM</w:t>
            </w:r>
          </w:p>
        </w:tc>
        <w:tc>
          <w:tcPr>
            <w:tcW w:type="dxa" w:w="7937"/>
          </w:tcPr>
          <w:p>
            <w:r/>
            <w:r>
              <w:rPr>
                <w:rFonts w:ascii="Times New Roman" w:hAnsi="Times New Roman"/>
                <w:sz w:val="20"/>
              </w:rPr>
              <w:t>Ministerio de Industria, Comercio y MIPYMES</w:t>
            </w:r>
          </w:p>
        </w:tc>
      </w:tr>
      <w:tr>
        <w:tc>
          <w:tcPr>
            <w:tcW w:type="dxa" w:w="2268"/>
          </w:tcPr>
          <w:p>
            <w:r/>
            <w:r>
              <w:rPr>
                <w:rFonts w:ascii="Times New Roman" w:hAnsi="Times New Roman"/>
                <w:b/>
                <w:sz w:val="20"/>
              </w:rPr>
              <w:t>NIM</w:t>
            </w:r>
          </w:p>
        </w:tc>
        <w:tc>
          <w:tcPr>
            <w:tcW w:type="dxa" w:w="7937"/>
          </w:tcPr>
          <w:p>
            <w:r/>
            <w:r>
              <w:rPr>
                <w:rFonts w:ascii="Times New Roman" w:hAnsi="Times New Roman"/>
                <w:sz w:val="20"/>
              </w:rPr>
              <w:t>National Implementation (modalidad PNUD)</w:t>
            </w:r>
          </w:p>
        </w:tc>
      </w:tr>
      <w:tr>
        <w:tc>
          <w:tcPr>
            <w:tcW w:type="dxa" w:w="2268"/>
          </w:tcPr>
          <w:p>
            <w:r/>
            <w:r>
              <w:rPr>
                <w:rFonts w:ascii="Times New Roman" w:hAnsi="Times New Roman"/>
                <w:b/>
                <w:sz w:val="20"/>
              </w:rPr>
              <w:t>ODS</w:t>
            </w:r>
          </w:p>
        </w:tc>
        <w:tc>
          <w:tcPr>
            <w:tcW w:type="dxa" w:w="7937"/>
          </w:tcPr>
          <w:p>
            <w:r/>
            <w:r>
              <w:rPr>
                <w:rFonts w:ascii="Times New Roman" w:hAnsi="Times New Roman"/>
                <w:sz w:val="20"/>
              </w:rPr>
              <w:t>Objetivos de Desarrollo Sostenible</w:t>
            </w:r>
          </w:p>
        </w:tc>
      </w:tr>
      <w:tr>
        <w:tc>
          <w:tcPr>
            <w:tcW w:type="dxa" w:w="2268"/>
          </w:tcPr>
          <w:p>
            <w:r/>
            <w:r>
              <w:rPr>
                <w:rFonts w:ascii="Times New Roman" w:hAnsi="Times New Roman"/>
                <w:b/>
                <w:sz w:val="20"/>
              </w:rPr>
              <w:t>ONE</w:t>
            </w:r>
          </w:p>
        </w:tc>
        <w:tc>
          <w:tcPr>
            <w:tcW w:type="dxa" w:w="7937"/>
          </w:tcPr>
          <w:p>
            <w:r/>
            <w:r>
              <w:rPr>
                <w:rFonts w:ascii="Times New Roman" w:hAnsi="Times New Roman"/>
                <w:sz w:val="20"/>
              </w:rPr>
              <w:t>Oficina Nacional de Estadistica</w:t>
            </w:r>
          </w:p>
        </w:tc>
      </w:tr>
      <w:tr>
        <w:tc>
          <w:tcPr>
            <w:tcW w:type="dxa" w:w="2268"/>
          </w:tcPr>
          <w:p>
            <w:r/>
            <w:r>
              <w:rPr>
                <w:rFonts w:ascii="Times New Roman" w:hAnsi="Times New Roman"/>
                <w:b/>
                <w:sz w:val="20"/>
              </w:rPr>
              <w:t>PNUD</w:t>
            </w:r>
          </w:p>
        </w:tc>
        <w:tc>
          <w:tcPr>
            <w:tcW w:type="dxa" w:w="7937"/>
          </w:tcPr>
          <w:p>
            <w:r/>
            <w:r>
              <w:rPr>
                <w:rFonts w:ascii="Times New Roman" w:hAnsi="Times New Roman"/>
                <w:sz w:val="20"/>
              </w:rPr>
              <w:t>Programa de las Naciones Unidas para el Desarrollo</w:t>
            </w:r>
          </w:p>
        </w:tc>
      </w:tr>
      <w:tr>
        <w:tc>
          <w:tcPr>
            <w:tcW w:type="dxa" w:w="2268"/>
          </w:tcPr>
          <w:p>
            <w:r/>
            <w:r>
              <w:rPr>
                <w:rFonts w:ascii="Times New Roman" w:hAnsi="Times New Roman"/>
                <w:b/>
                <w:sz w:val="20"/>
              </w:rPr>
              <w:t>RSE</w:t>
            </w:r>
          </w:p>
        </w:tc>
        <w:tc>
          <w:tcPr>
            <w:tcW w:type="dxa" w:w="7937"/>
          </w:tcPr>
          <w:p>
            <w:r/>
            <w:r>
              <w:rPr>
                <w:rFonts w:ascii="Times New Roman" w:hAnsi="Times New Roman"/>
                <w:sz w:val="20"/>
              </w:rPr>
              <w:t>Responsabilidad Social Empresarial</w:t>
            </w:r>
          </w:p>
        </w:tc>
      </w:tr>
      <w:tr>
        <w:tc>
          <w:tcPr>
            <w:tcW w:type="dxa" w:w="2268"/>
          </w:tcPr>
          <w:p>
            <w:r/>
            <w:r>
              <w:rPr>
                <w:rFonts w:ascii="Times New Roman" w:hAnsi="Times New Roman"/>
                <w:b/>
                <w:sz w:val="20"/>
              </w:rPr>
              <w:t>SIUBEN</w:t>
            </w:r>
          </w:p>
        </w:tc>
        <w:tc>
          <w:tcPr>
            <w:tcW w:type="dxa" w:w="7937"/>
          </w:tcPr>
          <w:p>
            <w:r/>
            <w:r>
              <w:rPr>
                <w:rFonts w:ascii="Times New Roman" w:hAnsi="Times New Roman"/>
                <w:sz w:val="20"/>
              </w:rPr>
              <w:t>Sistema Unico de Beneficiarios</w:t>
            </w:r>
          </w:p>
        </w:tc>
      </w:tr>
      <w:tr>
        <w:tc>
          <w:tcPr>
            <w:tcW w:type="dxa" w:w="2268"/>
          </w:tcPr>
          <w:p>
            <w:r/>
            <w:r>
              <w:rPr>
                <w:rFonts w:ascii="Times New Roman" w:hAnsi="Times New Roman"/>
                <w:b/>
                <w:sz w:val="20"/>
              </w:rPr>
              <w:t>TIR</w:t>
            </w:r>
          </w:p>
        </w:tc>
        <w:tc>
          <w:tcPr>
            <w:tcW w:type="dxa" w:w="7937"/>
          </w:tcPr>
          <w:p>
            <w:r/>
            <w:r>
              <w:rPr>
                <w:rFonts w:ascii="Times New Roman" w:hAnsi="Times New Roman"/>
                <w:sz w:val="20"/>
              </w:rPr>
              <w:t>Tasa Interna de Retorno</w:t>
            </w:r>
          </w:p>
        </w:tc>
      </w:tr>
      <w:tr>
        <w:tc>
          <w:tcPr>
            <w:tcW w:type="dxa" w:w="2268"/>
          </w:tcPr>
          <w:p>
            <w:r/>
            <w:r>
              <w:rPr>
                <w:rFonts w:ascii="Times New Roman" w:hAnsi="Times New Roman"/>
                <w:b/>
                <w:sz w:val="20"/>
              </w:rPr>
              <w:t>UEP</w:t>
            </w:r>
          </w:p>
        </w:tc>
        <w:tc>
          <w:tcPr>
            <w:tcW w:type="dxa" w:w="7937"/>
          </w:tcPr>
          <w:p>
            <w:r/>
            <w:r>
              <w:rPr>
                <w:rFonts w:ascii="Times New Roman" w:hAnsi="Times New Roman"/>
                <w:sz w:val="20"/>
              </w:rPr>
              <w:t>Unidad Ejecutora del Proyecto</w:t>
            </w:r>
          </w:p>
        </w:tc>
      </w:tr>
      <w:tr>
        <w:tc>
          <w:tcPr>
            <w:tcW w:type="dxa" w:w="2268"/>
          </w:tcPr>
          <w:p>
            <w:r/>
            <w:r>
              <w:rPr>
                <w:rFonts w:ascii="Times New Roman" w:hAnsi="Times New Roman"/>
                <w:b/>
                <w:sz w:val="20"/>
              </w:rPr>
              <w:t>VPN</w:t>
            </w:r>
          </w:p>
        </w:tc>
        <w:tc>
          <w:tcPr>
            <w:tcW w:type="dxa" w:w="7937"/>
          </w:tcPr>
          <w:p>
            <w:r/>
            <w:r>
              <w:rPr>
                <w:rFonts w:ascii="Times New Roman" w:hAnsi="Times New Roman"/>
                <w:sz w:val="20"/>
              </w:rPr>
              <w:t>Valor Presente Neto</w:t>
            </w:r>
          </w:p>
        </w:tc>
      </w:tr>
    </w:tbl>
    <w:p>
      <w:r>
        <w:rPr>
          <w:rFonts w:ascii="Times New Roman" w:hAnsi="Times New Roman"/>
          <w:b w:val="0"/>
          <w:i w:val="0"/>
          <w:sz w:val="8"/>
        </w:rPr>
      </w:r>
    </w:p>
    <w:p>
      <w:r>
        <w:rPr>
          <w:rFonts w:ascii="Times New Roman" w:hAnsi="Times New Roman"/>
          <w:b w:val="0"/>
          <w:i/>
          <w:sz w:val="20"/>
        </w:rPr>
        <w:t>Fuente: Elaboracion propia a partir de documentos oficiales de BID, PNUD y normativa dominicana vigente.</w:t>
      </w:r>
    </w:p>
    <w:p>
      <w:pPr>
        <w:pStyle w:val="Heading1"/>
      </w:pPr>
      <w:r>
        <w:rPr>
          <w:rFonts w:ascii="Times New Roman" w:hAnsi="Times New Roman"/>
        </w:rPr>
        <w:t>2. DIAGNOSTICO SITUACIONAL</w:t>
      </w:r>
    </w:p>
    <w:p>
      <w:pPr>
        <w:pStyle w:val="Heading2"/>
      </w:pPr>
      <w:r>
        <w:rPr>
          <w:rFonts w:ascii="Times New Roman" w:hAnsi="Times New Roman"/>
        </w:rPr>
        <w:t>2.1 Contexto Socioeconomico Nacional</w:t>
      </w:r>
    </w:p>
    <w:p>
      <w:pPr>
        <w:jc w:val="both"/>
      </w:pPr>
      <w:r>
        <w:rPr>
          <w:rFonts w:ascii="Times New Roman" w:hAnsi="Times New Roman"/>
          <w:b w:val="0"/>
          <w:i w:val="0"/>
          <w:sz w:val="24"/>
        </w:rPr>
        <w:t>Republica Dominicana ha registrado un desempeno macroeconomico favorable en la ultima decada, con un crecimiento del PIB de 5.0% en 2024 y proyecciones de 3.6% para 2026 y 4.4% para 2027 (Banco Mundial, 2025). El PIB per capita de US$ 10,875.7 posiciona al pais como una economia de ingreso medio-alto segun la clasificacion del Banco Mundial. No obstante, este crecimiento no se ha traducido en una reduccion proporcional de las desigualdades sociales.</w:t>
      </w:r>
    </w:p>
    <w:p>
      <w:pPr>
        <w:jc w:val="both"/>
      </w:pPr>
      <w:r>
        <w:rPr>
          <w:rFonts w:ascii="Times New Roman" w:hAnsi="Times New Roman"/>
          <w:b w:val="0"/>
          <w:i w:val="0"/>
          <w:sz w:val="24"/>
        </w:rPr>
        <w:t>La poblacion economicamente activa femenina representa el 51.2% de las mujeres en edad de trabajar (PNUD, 2012; dato en actualizacion con ENCFT 2024), significativamente por debajo de la tasa masculina. El desempleo femenino es consistentemente superior al masculino, y las mujeres se concentran desproporcionadamente en el sector informal de la economia, caracterizado por baja productividad, ausencia de proteccion social y altos niveles de precariedad.</w:t>
      </w:r>
    </w:p>
    <w:p>
      <w:pPr>
        <w:jc w:val="both"/>
      </w:pPr>
      <w:r>
        <w:rPr>
          <w:rFonts w:ascii="Times New Roman" w:hAnsi="Times New Roman"/>
          <w:b w:val="0"/>
          <w:i w:val="0"/>
          <w:sz w:val="24"/>
        </w:rPr>
        <w:t>La inflacion se situo en 3.3% en 2024 (Banco Mundial), dentro del rango meta del Banco Central. Las remesas familiares representan el 9.0% del PIB, evidenciando la dependencia de los hogares dominicanos de las transferencias del exterior, particularmente relevante para los hogares encabezados por mujeres.</w:t>
      </w:r>
    </w:p>
    <w:p>
      <w:r>
        <w:rPr>
          <w:rFonts w:ascii="Times New Roman" w:hAnsi="Times New Roman"/>
          <w:b w:val="0"/>
          <w:i w:val="0"/>
          <w:sz w:val="8"/>
        </w:rPr>
      </w:r>
    </w:p>
    <w:p>
      <w:pPr>
        <w:jc w:val="center"/>
      </w:pPr>
      <w:r>
        <w:rPr>
          <w:rFonts w:ascii="Times New Roman" w:hAnsi="Times New Roman"/>
          <w:b/>
          <w:i w:val="0"/>
          <w:sz w:val="20"/>
        </w:rPr>
        <w:t>Tabla 1. Indicadores socioeconomicos clave de Republica Dominicana</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3685"/>
            <w:shd w:fill="003366" w:val="clear"/>
          </w:tcPr>
          <w:p>
            <w:pPr>
              <w:jc w:val="center"/>
            </w:pPr>
            <w:r/>
            <w:r>
              <w:rPr>
                <w:rFonts w:ascii="Times New Roman" w:hAnsi="Times New Roman"/>
                <w:b/>
                <w:color w:val="FFFFFF"/>
                <w:sz w:val="20"/>
              </w:rPr>
              <w:t>Indicador</w:t>
            </w:r>
          </w:p>
        </w:tc>
        <w:tc>
          <w:tcPr>
            <w:tcW w:type="dxa" w:w="2551"/>
            <w:shd w:fill="003366" w:val="clear"/>
          </w:tcPr>
          <w:p>
            <w:pPr>
              <w:jc w:val="center"/>
            </w:pPr>
            <w:r/>
            <w:r>
              <w:rPr>
                <w:rFonts w:ascii="Times New Roman" w:hAnsi="Times New Roman"/>
                <w:b/>
                <w:color w:val="FFFFFF"/>
                <w:sz w:val="20"/>
              </w:rPr>
              <w:t>Valor</w:t>
            </w:r>
          </w:p>
        </w:tc>
        <w:tc>
          <w:tcPr>
            <w:tcW w:type="dxa" w:w="1134"/>
            <w:shd w:fill="003366" w:val="clear"/>
          </w:tcPr>
          <w:p>
            <w:pPr>
              <w:jc w:val="center"/>
            </w:pPr>
            <w:r/>
            <w:r>
              <w:rPr>
                <w:rFonts w:ascii="Times New Roman" w:hAnsi="Times New Roman"/>
                <w:b/>
                <w:color w:val="FFFFFF"/>
                <w:sz w:val="20"/>
              </w:rPr>
              <w:t>Ano</w:t>
            </w:r>
          </w:p>
        </w:tc>
        <w:tc>
          <w:tcPr>
            <w:tcW w:type="dxa" w:w="1701"/>
            <w:shd w:fill="003366" w:val="clear"/>
          </w:tcPr>
          <w:p>
            <w:pPr>
              <w:jc w:val="center"/>
            </w:pPr>
            <w:r/>
            <w:r>
              <w:rPr>
                <w:rFonts w:ascii="Times New Roman" w:hAnsi="Times New Roman"/>
                <w:b/>
                <w:color w:val="FFFFFF"/>
                <w:sz w:val="20"/>
              </w:rPr>
              <w:t>Fuente</w:t>
            </w:r>
          </w:p>
        </w:tc>
      </w:tr>
      <w:tr>
        <w:tc>
          <w:tcPr>
            <w:tcW w:type="dxa" w:w="3685"/>
          </w:tcPr>
          <w:p>
            <w:r/>
            <w:r>
              <w:rPr>
                <w:rFonts w:ascii="Times New Roman" w:hAnsi="Times New Roman"/>
                <w:b/>
                <w:sz w:val="20"/>
              </w:rPr>
              <w:t>Poblacion total</w:t>
            </w:r>
          </w:p>
        </w:tc>
        <w:tc>
          <w:tcPr>
            <w:tcW w:type="dxa" w:w="2551"/>
          </w:tcPr>
          <w:p>
            <w:r/>
            <w:r>
              <w:rPr>
                <w:rFonts w:ascii="Times New Roman" w:hAnsi="Times New Roman"/>
                <w:sz w:val="20"/>
              </w:rPr>
              <w:t>11,427,557 hab</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PIB nominal</w:t>
            </w:r>
          </w:p>
        </w:tc>
        <w:tc>
          <w:tcPr>
            <w:tcW w:type="dxa" w:w="2551"/>
          </w:tcPr>
          <w:p>
            <w:r/>
            <w:r>
              <w:rPr>
                <w:rFonts w:ascii="Times New Roman" w:hAnsi="Times New Roman"/>
                <w:sz w:val="20"/>
              </w:rPr>
              <w:t>US$ 124,280 millones</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PIB per capita</w:t>
            </w:r>
          </w:p>
        </w:tc>
        <w:tc>
          <w:tcPr>
            <w:tcW w:type="dxa" w:w="2551"/>
          </w:tcPr>
          <w:p>
            <w:r/>
            <w:r>
              <w:rPr>
                <w:rFonts w:ascii="Times New Roman" w:hAnsi="Times New Roman"/>
                <w:sz w:val="20"/>
              </w:rPr>
              <w:t>US$ 10,875.7</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Crecimiento PIB</w:t>
            </w:r>
          </w:p>
        </w:tc>
        <w:tc>
          <w:tcPr>
            <w:tcW w:type="dxa" w:w="2551"/>
          </w:tcPr>
          <w:p>
            <w:r/>
            <w:r>
              <w:rPr>
                <w:rFonts w:ascii="Times New Roman" w:hAnsi="Times New Roman"/>
                <w:sz w:val="20"/>
              </w:rPr>
              <w:t>5.0%</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Inflacion</w:t>
            </w:r>
          </w:p>
        </w:tc>
        <w:tc>
          <w:tcPr>
            <w:tcW w:type="dxa" w:w="2551"/>
          </w:tcPr>
          <w:p>
            <w:r/>
            <w:r>
              <w:rPr>
                <w:rFonts w:ascii="Times New Roman" w:hAnsi="Times New Roman"/>
                <w:sz w:val="20"/>
              </w:rPr>
              <w:t>3.3%</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Remesas como % del PIB</w:t>
            </w:r>
          </w:p>
        </w:tc>
        <w:tc>
          <w:tcPr>
            <w:tcW w:type="dxa" w:w="2551"/>
          </w:tcPr>
          <w:p>
            <w:r/>
            <w:r>
              <w:rPr>
                <w:rFonts w:ascii="Times New Roman" w:hAnsi="Times New Roman"/>
                <w:sz w:val="20"/>
              </w:rPr>
              <w:t>9.0%</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Desempleo (OIT modelado)</w:t>
            </w:r>
          </w:p>
        </w:tc>
        <w:tc>
          <w:tcPr>
            <w:tcW w:type="dxa" w:w="2551"/>
          </w:tcPr>
          <w:p>
            <w:r/>
            <w:r>
              <w:rPr>
                <w:rFonts w:ascii="Times New Roman" w:hAnsi="Times New Roman"/>
                <w:sz w:val="20"/>
              </w:rPr>
              <w:t>5.1%</w:t>
            </w:r>
          </w:p>
        </w:tc>
        <w:tc>
          <w:tcPr>
            <w:tcW w:type="dxa" w:w="1134"/>
          </w:tcPr>
          <w:p>
            <w:r/>
            <w:r>
              <w:rPr>
                <w:rFonts w:ascii="Times New Roman" w:hAnsi="Times New Roman"/>
                <w:sz w:val="20"/>
              </w:rPr>
              <w:t>2025</w:t>
            </w:r>
          </w:p>
        </w:tc>
        <w:tc>
          <w:tcPr>
            <w:tcW w:type="dxa" w:w="1701"/>
          </w:tcPr>
          <w:p>
            <w:r/>
            <w:r>
              <w:rPr>
                <w:rFonts w:ascii="Times New Roman" w:hAnsi="Times New Roman"/>
                <w:sz w:val="20"/>
              </w:rPr>
              <w:t>OIT/Banco Mundial</w:t>
            </w:r>
          </w:p>
        </w:tc>
      </w:tr>
      <w:tr>
        <w:tc>
          <w:tcPr>
            <w:tcW w:type="dxa" w:w="3685"/>
          </w:tcPr>
          <w:p>
            <w:r/>
            <w:r>
              <w:rPr>
                <w:rFonts w:ascii="Times New Roman" w:hAnsi="Times New Roman"/>
                <w:b/>
                <w:sz w:val="20"/>
              </w:rPr>
              <w:t>Indice de Desigualdad de Genero (GII)</w:t>
            </w:r>
          </w:p>
        </w:tc>
        <w:tc>
          <w:tcPr>
            <w:tcW w:type="dxa" w:w="2551"/>
          </w:tcPr>
          <w:p>
            <w:r/>
            <w:r>
              <w:rPr>
                <w:rFonts w:ascii="Times New Roman" w:hAnsi="Times New Roman"/>
                <w:sz w:val="20"/>
              </w:rPr>
              <w:t>0.429 (puesto 106/191)</w:t>
            </w:r>
          </w:p>
        </w:tc>
        <w:tc>
          <w:tcPr>
            <w:tcW w:type="dxa" w:w="1134"/>
          </w:tcPr>
          <w:p>
            <w:r/>
            <w:r>
              <w:rPr>
                <w:rFonts w:ascii="Times New Roman" w:hAnsi="Times New Roman"/>
                <w:sz w:val="20"/>
              </w:rPr>
              <w:t>2021</w:t>
            </w:r>
          </w:p>
        </w:tc>
        <w:tc>
          <w:tcPr>
            <w:tcW w:type="dxa" w:w="1701"/>
          </w:tcPr>
          <w:p>
            <w:r/>
            <w:r>
              <w:rPr>
                <w:rFonts w:ascii="Times New Roman" w:hAnsi="Times New Roman"/>
                <w:sz w:val="20"/>
              </w:rPr>
              <w:t>PNUD</w:t>
            </w:r>
          </w:p>
        </w:tc>
      </w:tr>
      <w:tr>
        <w:tc>
          <w:tcPr>
            <w:tcW w:type="dxa" w:w="3685"/>
          </w:tcPr>
          <w:p>
            <w:r/>
            <w:r>
              <w:rPr>
                <w:rFonts w:ascii="Times New Roman" w:hAnsi="Times New Roman"/>
                <w:b/>
                <w:sz w:val="20"/>
              </w:rPr>
              <w:t>Brecha salarial de genero</w:t>
            </w:r>
          </w:p>
        </w:tc>
        <w:tc>
          <w:tcPr>
            <w:tcW w:type="dxa" w:w="2551"/>
          </w:tcPr>
          <w:p>
            <w:r/>
            <w:r>
              <w:rPr>
                <w:rFonts w:ascii="Times New Roman" w:hAnsi="Times New Roman"/>
                <w:sz w:val="20"/>
              </w:rPr>
              <w:t>27%</w:t>
            </w:r>
          </w:p>
        </w:tc>
        <w:tc>
          <w:tcPr>
            <w:tcW w:type="dxa" w:w="1134"/>
          </w:tcPr>
          <w:p>
            <w:r/>
            <w:r>
              <w:rPr>
                <w:rFonts w:ascii="Times New Roman" w:hAnsi="Times New Roman"/>
                <w:sz w:val="20"/>
              </w:rPr>
              <w:t>2022</w:t>
            </w:r>
          </w:p>
        </w:tc>
        <w:tc>
          <w:tcPr>
            <w:tcW w:type="dxa" w:w="1701"/>
          </w:tcPr>
          <w:p>
            <w:r/>
            <w:r>
              <w:rPr>
                <w:rFonts w:ascii="Times New Roman" w:hAnsi="Times New Roman"/>
                <w:sz w:val="20"/>
              </w:rPr>
              <w:t>PNUD</w:t>
            </w:r>
          </w:p>
        </w:tc>
      </w:tr>
      <w:tr>
        <w:tc>
          <w:tcPr>
            <w:tcW w:type="dxa" w:w="3685"/>
          </w:tcPr>
          <w:p>
            <w:r/>
            <w:r>
              <w:rPr>
                <w:rFonts w:ascii="Times New Roman" w:hAnsi="Times New Roman"/>
                <w:b/>
                <w:sz w:val="20"/>
              </w:rPr>
              <w:t>Esperanza de vida</w:t>
            </w:r>
          </w:p>
        </w:tc>
        <w:tc>
          <w:tcPr>
            <w:tcW w:type="dxa" w:w="2551"/>
          </w:tcPr>
          <w:p>
            <w:r/>
            <w:r>
              <w:rPr>
                <w:rFonts w:ascii="Times New Roman" w:hAnsi="Times New Roman"/>
                <w:sz w:val="20"/>
              </w:rPr>
              <w:t>74 anos</w:t>
            </w:r>
          </w:p>
        </w:tc>
        <w:tc>
          <w:tcPr>
            <w:tcW w:type="dxa" w:w="1134"/>
          </w:tcPr>
          <w:p>
            <w:r/>
            <w:r>
              <w:rPr>
                <w:rFonts w:ascii="Times New Roman" w:hAnsi="Times New Roman"/>
                <w:sz w:val="20"/>
              </w:rPr>
              <w:t>2024</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Mujeres en parlamento</w:t>
            </w:r>
          </w:p>
        </w:tc>
        <w:tc>
          <w:tcPr>
            <w:tcW w:type="dxa" w:w="2551"/>
          </w:tcPr>
          <w:p>
            <w:r/>
            <w:r>
              <w:rPr>
                <w:rFonts w:ascii="Times New Roman" w:hAnsi="Times New Roman"/>
                <w:sz w:val="20"/>
              </w:rPr>
              <w:t>37%</w:t>
            </w:r>
          </w:p>
        </w:tc>
        <w:tc>
          <w:tcPr>
            <w:tcW w:type="dxa" w:w="1134"/>
          </w:tcPr>
          <w:p>
            <w:r/>
            <w:r>
              <w:rPr>
                <w:rFonts w:ascii="Times New Roman" w:hAnsi="Times New Roman"/>
                <w:sz w:val="20"/>
              </w:rPr>
              <w:t>2025</w:t>
            </w:r>
          </w:p>
        </w:tc>
        <w:tc>
          <w:tcPr>
            <w:tcW w:type="dxa" w:w="1701"/>
          </w:tcPr>
          <w:p>
            <w:r/>
            <w:r>
              <w:rPr>
                <w:rFonts w:ascii="Times New Roman" w:hAnsi="Times New Roman"/>
                <w:sz w:val="20"/>
              </w:rPr>
              <w:t>Banco Mundial</w:t>
            </w:r>
          </w:p>
        </w:tc>
      </w:tr>
      <w:tr>
        <w:tc>
          <w:tcPr>
            <w:tcW w:type="dxa" w:w="3685"/>
          </w:tcPr>
          <w:p>
            <w:r/>
            <w:r>
              <w:rPr>
                <w:rFonts w:ascii="Times New Roman" w:hAnsi="Times New Roman"/>
                <w:b/>
                <w:sz w:val="20"/>
              </w:rPr>
              <w:t>Hogares en pobreza extrema/moderada</w:t>
            </w:r>
          </w:p>
        </w:tc>
        <w:tc>
          <w:tcPr>
            <w:tcW w:type="dxa" w:w="2551"/>
          </w:tcPr>
          <w:p>
            <w:r/>
            <w:r>
              <w:rPr>
                <w:rFonts w:ascii="Times New Roman" w:hAnsi="Times New Roman"/>
                <w:sz w:val="20"/>
              </w:rPr>
              <w:t>~1.4 millones</w:t>
            </w:r>
          </w:p>
        </w:tc>
        <w:tc>
          <w:tcPr>
            <w:tcW w:type="dxa" w:w="1134"/>
          </w:tcPr>
          <w:p>
            <w:r/>
            <w:r>
              <w:rPr>
                <w:rFonts w:ascii="Times New Roman" w:hAnsi="Times New Roman"/>
                <w:sz w:val="20"/>
              </w:rPr>
              <w:t>2024</w:t>
            </w:r>
          </w:p>
        </w:tc>
        <w:tc>
          <w:tcPr>
            <w:tcW w:type="dxa" w:w="1701"/>
          </w:tcPr>
          <w:p>
            <w:r/>
            <w:r>
              <w:rPr>
                <w:rFonts w:ascii="Times New Roman" w:hAnsi="Times New Roman"/>
                <w:sz w:val="20"/>
              </w:rPr>
              <w:t>Superate/SIUBEN</w:t>
            </w:r>
          </w:p>
        </w:tc>
      </w:tr>
    </w:tbl>
    <w:p>
      <w:r>
        <w:rPr>
          <w:rFonts w:ascii="Times New Roman" w:hAnsi="Times New Roman"/>
          <w:b w:val="0"/>
          <w:i w:val="0"/>
          <w:sz w:val="8"/>
        </w:rPr>
      </w:r>
    </w:p>
    <w:p>
      <w:r>
        <w:rPr>
          <w:rFonts w:ascii="Times New Roman" w:hAnsi="Times New Roman"/>
          <w:b w:val="0"/>
          <w:i/>
          <w:sz w:val="20"/>
        </w:rPr>
        <w:t>Fuente: Elaboracion propia con datos del Banco Mundial (2025), PNUD (2022-2023) y Superate/SIUBEN (2024).</w:t>
      </w:r>
    </w:p>
    <w:p>
      <w:pPr>
        <w:pStyle w:val="Heading2"/>
      </w:pPr>
      <w:r>
        <w:rPr>
          <w:rFonts w:ascii="Times New Roman" w:hAnsi="Times New Roman"/>
        </w:rPr>
        <w:t>2.2 Madres Solteras y Jefatura Femenina en Republica Dominicana</w:t>
      </w:r>
    </w:p>
    <w:p>
      <w:pPr>
        <w:jc w:val="both"/>
      </w:pPr>
      <w:r>
        <w:rPr>
          <w:rFonts w:ascii="Times New Roman" w:hAnsi="Times New Roman"/>
          <w:b w:val="0"/>
          <w:i w:val="0"/>
          <w:sz w:val="24"/>
        </w:rPr>
        <w:t>La jefatura femenina de hogar constituye una realidad sociodemografica creciente en Republica Dominicana. Estudios academicos documentan que las mujeres dominicanas de clase baja viven en familias con estructura matriarcal, frecuentemente como consecuencia de la ausencia del padre en el hogar (Wikipedia, citando fuentes academicas, 2025). El Banco Mundial (2024), en su diagnostico de genero para el pais, senala que "las mujeres dominicanas, a menudo sin un trabajo formal y con un hogar a cuestas, tienen menos capacidad de respuesta y recuperacion ante los desastres climatologicos, y sufren un mayor desgaste economico y sobrecarga de cuidados debido a la falta de apoyo por parte de los padres para la manutencion adecuada de sus hijos."</w:t>
      </w:r>
    </w:p>
    <w:p>
      <w:pPr>
        <w:jc w:val="both"/>
      </w:pPr>
      <w:r>
        <w:rPr>
          <w:rFonts w:ascii="Times New Roman" w:hAnsi="Times New Roman"/>
          <w:b w:val="0"/>
          <w:i w:val="0"/>
          <w:sz w:val="24"/>
        </w:rPr>
        <w:t>Los datos del Bono de Emergencia tras el huracan Fiona (2022) son particularmente reveladores: mas del 60% de los 35,000 hogares beneficiarios estaban encabezados por mujeres (Banco Mundial, 2024). Esta vulnerabilidad diferenciada se explica por la confluencia de factores estructurales:</w:t>
      </w:r>
    </w:p>
    <w:p>
      <w:pPr>
        <w:pStyle w:val="ListBullet"/>
        <w:spacing w:line="360" w:lineRule="auto"/>
        <w:ind w:left="720"/>
      </w:pPr>
      <w:r>
        <w:rPr>
          <w:rFonts w:ascii="Times New Roman" w:hAnsi="Times New Roman"/>
          <w:sz w:val="24"/>
        </w:rPr>
        <w:t>Sobrecarga de cuidados no remunerados: las mujeres dedican en promedio el doble de horas al trabajo de cuidados no remunerado que los hombres (CEPAL, 2023)</w:t>
      </w:r>
    </w:p>
    <w:p>
      <w:pPr>
        <w:pStyle w:val="ListBullet"/>
        <w:spacing w:line="360" w:lineRule="auto"/>
        <w:ind w:left="720"/>
      </w:pPr>
      <w:r>
        <w:rPr>
          <w:rFonts w:ascii="Times New Roman" w:hAnsi="Times New Roman"/>
          <w:sz w:val="24"/>
        </w:rPr>
        <w:t>Menor participacion laboral formal: la tasa de formalidad femenina es significativamente menor que la masculina, concentrandose en empleos sin proteccion social</w:t>
      </w:r>
    </w:p>
    <w:p>
      <w:pPr>
        <w:pStyle w:val="ListBullet"/>
        <w:spacing w:line="360" w:lineRule="auto"/>
        <w:ind w:left="720"/>
      </w:pPr>
      <w:r>
        <w:rPr>
          <w:rFonts w:ascii="Times New Roman" w:hAnsi="Times New Roman"/>
          <w:sz w:val="24"/>
        </w:rPr>
        <w:t>Brecha salarial persistente: las mujeres ganan 27% menos que los hombres en promedio, brecha que se amplia en el sector informal (PNUD, 2022)</w:t>
      </w:r>
    </w:p>
    <w:p>
      <w:pPr>
        <w:pStyle w:val="ListBullet"/>
        <w:spacing w:line="360" w:lineRule="auto"/>
        <w:ind w:left="720"/>
      </w:pPr>
      <w:r>
        <w:rPr>
          <w:rFonts w:ascii="Times New Roman" w:hAnsi="Times New Roman"/>
          <w:sz w:val="24"/>
        </w:rPr>
        <w:t>Exclusion financiera: las mujeres tienen menor acceso a credito formal por falta de historial crediticio, garantias reales y titularidad de activos</w:t>
      </w:r>
    </w:p>
    <w:p>
      <w:pPr>
        <w:pStyle w:val="ListBullet"/>
        <w:spacing w:line="360" w:lineRule="auto"/>
        <w:ind w:left="720"/>
      </w:pPr>
      <w:r>
        <w:rPr>
          <w:rFonts w:ascii="Times New Roman" w:hAnsi="Times New Roman"/>
          <w:sz w:val="24"/>
        </w:rPr>
        <w:t>Violencia de genero: Republica Dominicana registra altas tasas de violencia contra la mujer, que constituye una barrera adicional para la participacion economica</w:t>
      </w:r>
    </w:p>
    <w:p>
      <w:pPr>
        <w:jc w:val="both"/>
      </w:pPr>
      <w:r>
        <w:rPr>
          <w:rFonts w:ascii="Times New Roman" w:hAnsi="Times New Roman"/>
          <w:b w:val="0"/>
          <w:i w:val="0"/>
          <w:sz w:val="24"/>
        </w:rPr>
        <w:t>El Indice de Desigualdad de Genero (GII) de la Republica Dominicana, con un valor de 0.429 y un ranking de 106 entre 191 paises (PNUD, 2021), refleja disparidades significativas en tres dimensiones clave: salud reproductiva, empoderamiento y participacion en el mercado laboral. El Global Gender Gap Index 2022 del Foro Economico Mundial otorga al pais una puntuacion de 0.703 (puesto 84 de 146), indicando una brecha de genero del 29.7% por cerrar.</w:t>
      </w:r>
    </w:p>
    <w:p>
      <w:pPr>
        <w:pStyle w:val="Heading2"/>
      </w:pPr>
      <w:r>
        <w:rPr>
          <w:rFonts w:ascii="Times New Roman" w:hAnsi="Times New Roman"/>
        </w:rPr>
        <w:t>2.3 Programas Existentes y Brechas Identificadas</w:t>
      </w:r>
    </w:p>
    <w:p>
      <w:pPr>
        <w:jc w:val="both"/>
      </w:pPr>
      <w:r>
        <w:rPr>
          <w:rFonts w:ascii="Times New Roman" w:hAnsi="Times New Roman"/>
          <w:b w:val="0"/>
          <w:i w:val="0"/>
          <w:sz w:val="24"/>
        </w:rPr>
        <w:t>El programa Supérate constituye la principal red de proteccion social de la Republica Dominicana, administrando una cartera de subsidios y transferencias para 1.4 millones de hogares en situacion de vulnerabilidad. Sus componentes principales incluyen Aliméntate (alimentos), Aprende (primaria), Avanza (secundaria), BonoLuz (energia), Bonogás (gas licuado), y el reciente Bono Madre 2026 (RD$ 1,500 pago unico anual).</w:t>
      </w:r>
    </w:p>
    <w:p>
      <w:pPr>
        <w:jc w:val="both"/>
      </w:pPr>
      <w:r>
        <w:rPr>
          <w:rFonts w:ascii="Times New Roman" w:hAnsi="Times New Roman"/>
          <w:b w:val="0"/>
          <w:i w:val="0"/>
          <w:sz w:val="24"/>
        </w:rPr>
        <w:t>Sin embargo, un analisis critico de la arquitectura actual de proteccion social revela brechas significativas que el presente proyecto busca abordar:</w:t>
      </w:r>
    </w:p>
    <w:p>
      <w:pPr>
        <w:pStyle w:val="ListBullet"/>
        <w:spacing w:line="360" w:lineRule="auto"/>
        <w:ind w:left="720"/>
      </w:pPr>
      <w:r>
        <w:rPr>
          <w:rFonts w:ascii="Times New Roman" w:hAnsi="Times New Roman"/>
          <w:sz w:val="24"/>
        </w:rPr>
        <w:t>Ausencia de cuidado infantil universal: el componente Cuidados de Supérate se encuentra aun en fase piloto y no cubre la demanda existente. Las madres no tienen donde dejar a sus hijos mientras se forman o trabajan.</w:t>
      </w:r>
    </w:p>
    <w:p>
      <w:pPr>
        <w:pStyle w:val="ListBullet"/>
        <w:spacing w:line="360" w:lineRule="auto"/>
        <w:ind w:left="720"/>
      </w:pPr>
      <w:r>
        <w:rPr>
          <w:rFonts w:ascii="Times New Roman" w:hAnsi="Times New Roman"/>
          <w:sz w:val="24"/>
        </w:rPr>
        <w:t>El Bono Madre (RD$ 1,500 anual) constituye un alivio puntual que no genera capacidades productivas ni constituye una via de superacion estructural de la pobreza.</w:t>
      </w:r>
    </w:p>
    <w:p>
      <w:pPr>
        <w:pStyle w:val="ListBullet"/>
        <w:spacing w:line="360" w:lineRule="auto"/>
        <w:ind w:left="720"/>
      </w:pPr>
      <w:r>
        <w:rPr>
          <w:rFonts w:ascii="Times New Roman" w:hAnsi="Times New Roman"/>
          <w:sz w:val="24"/>
        </w:rPr>
        <w:t>No existe vinculacion efectiva entre la proteccion social (transferencias) y la inclusion productiva (formacion, credito, empleo).</w:t>
      </w:r>
    </w:p>
    <w:p>
      <w:pPr>
        <w:pStyle w:val="ListBullet"/>
        <w:spacing w:line="360" w:lineRule="auto"/>
        <w:ind w:left="720"/>
      </w:pPr>
      <w:r>
        <w:rPr>
          <w:rFonts w:ascii="Times New Roman" w:hAnsi="Times New Roman"/>
          <w:sz w:val="24"/>
        </w:rPr>
        <w:t>El umbral de ingreso de RD$ 38,158/mes (aproximadamente US$ 640) para acceder al Bono Madre excluye a madres de clase media baja que, sin estar en pobreza extrema, son altamente vulnerables.</w:t>
      </w:r>
    </w:p>
    <w:p>
      <w:pPr>
        <w:pStyle w:val="ListBullet"/>
        <w:spacing w:line="360" w:lineRule="auto"/>
        <w:ind w:left="720"/>
      </w:pPr>
      <w:r>
        <w:rPr>
          <w:rFonts w:ascii="Times New Roman" w:hAnsi="Times New Roman"/>
          <w:sz w:val="24"/>
        </w:rPr>
        <w:t>El acceso a la proteccion social esta condicionado a la clasificacion SIUBEN en ICV-1 o ICV-2, dejando fuera a madres que no estan registradas en el sistema.</w:t>
      </w:r>
    </w:p>
    <w:p>
      <w:pPr>
        <w:pStyle w:val="Heading2"/>
      </w:pPr>
      <w:r>
        <w:rPr>
          <w:rFonts w:ascii="Times New Roman" w:hAnsi="Times New Roman"/>
        </w:rPr>
        <w:t>2.4 Arbol de Problemas</w:t>
      </w:r>
    </w:p>
    <w:p>
      <w:pPr>
        <w:jc w:val="both"/>
      </w:pPr>
      <w:r>
        <w:rPr>
          <w:rFonts w:ascii="Times New Roman" w:hAnsi="Times New Roman"/>
          <w:b w:val="0"/>
          <w:i w:val="0"/>
          <w:sz w:val="24"/>
        </w:rPr>
        <w:t>A continuacion se presenta el arbol de problemas que sintetiza el diagnostico situacional y fundamenta la intervencion propuesta. Este analisis sigue la metodologia de marco logico del BID y la teoria de cambio del PNUD.</w:t>
      </w:r>
    </w:p>
    <w:p>
      <w:r>
        <w:rPr>
          <w:rFonts w:ascii="Times New Roman" w:hAnsi="Times New Roman"/>
          <w:b w:val="0"/>
          <w:i w:val="0"/>
          <w:sz w:val="8"/>
        </w:rPr>
      </w:r>
    </w:p>
    <w:p>
      <w:pPr>
        <w:jc w:val="center"/>
      </w:pPr>
      <w:r>
        <w:rPr>
          <w:rFonts w:ascii="Times New Roman" w:hAnsi="Times New Roman"/>
          <w:b/>
          <w:color w:val="800000"/>
          <w:sz w:val="24"/>
        </w:rPr>
        <w:t>PROBLEMA CENTRAL</w:t>
      </w:r>
    </w:p>
    <w:p>
      <w:pPr>
        <w:jc w:val="center"/>
      </w:pPr>
      <w:r>
        <w:rPr>
          <w:rFonts w:ascii="Times New Roman" w:hAnsi="Times New Roman"/>
          <w:i/>
          <w:sz w:val="22"/>
        </w:rPr>
        <w:t>Las madres solteras en Republica Dominicana carecen de acceso a formacion tecnica de calidad vinculada al mercado laboral, servicios de cuidado infantil accesibles, atencion medica basica y capital semilla para emprender, lo que perpetua el ciclo intergeneracional de pobreza en hogares monoparentales femeninos.</w:t>
      </w:r>
    </w:p>
    <w:p>
      <w:r>
        <w:rPr>
          <w:rFonts w:ascii="Times New Roman" w:hAnsi="Times New Roman"/>
          <w:b w:val="0"/>
          <w:i w:val="0"/>
          <w:sz w:val="8"/>
        </w:rPr>
      </w:r>
    </w:p>
    <w:p>
      <w:r>
        <w:rPr>
          <w:rFonts w:ascii="Times New Roman" w:hAnsi="Times New Roman"/>
          <w:b/>
          <w:i w:val="0"/>
          <w:color w:val="003366"/>
          <w:sz w:val="22"/>
        </w:rPr>
        <w:t>Causas Principales:</w:t>
      </w:r>
    </w:p>
    <w:p>
      <w:pPr>
        <w:pStyle w:val="ListBullet"/>
        <w:spacing w:line="360" w:lineRule="auto"/>
        <w:ind w:left="720"/>
      </w:pPr>
      <w:r>
        <w:rPr>
          <w:rFonts w:ascii="Times New Roman" w:hAnsi="Times New Roman"/>
          <w:sz w:val="24"/>
        </w:rPr>
        <w:t>Causa 1: Oferta insuficiente de formacion tecnica vinculada a la demanda del mercado laboral y con certificacion oficial</w:t>
      </w:r>
    </w:p>
    <w:p>
      <w:pPr>
        <w:pStyle w:val="ListBullet"/>
        <w:spacing w:line="360" w:lineRule="auto"/>
        <w:ind w:left="720"/>
      </w:pPr>
      <w:r>
        <w:rPr>
          <w:rFonts w:ascii="Times New Roman" w:hAnsi="Times New Roman"/>
          <w:sz w:val="24"/>
        </w:rPr>
        <w:t>Causa 2: Ausencia de servicios de cuidado infantil accesibles, de calidad y con horario compatible con la formacion laboral</w:t>
      </w:r>
    </w:p>
    <w:p>
      <w:pPr>
        <w:pStyle w:val="ListBullet"/>
        <w:spacing w:line="360" w:lineRule="auto"/>
        <w:ind w:left="720"/>
      </w:pPr>
      <w:r>
        <w:rPr>
          <w:rFonts w:ascii="Times New Roman" w:hAnsi="Times New Roman"/>
          <w:sz w:val="24"/>
        </w:rPr>
        <w:t>Causa 3: Exclusion financiera de las mujeres sin historial crediticio, garantias reales ni titularidad de activos productivos</w:t>
      </w:r>
    </w:p>
    <w:p>
      <w:pPr>
        <w:pStyle w:val="ListBullet"/>
        <w:spacing w:line="360" w:lineRule="auto"/>
        <w:ind w:left="720"/>
      </w:pPr>
      <w:r>
        <w:rPr>
          <w:rFonts w:ascii="Times New Roman" w:hAnsi="Times New Roman"/>
          <w:sz w:val="24"/>
        </w:rPr>
        <w:t>Causa 4: Normas sociales y culturales que asignan a la mujer la responsabilidad exclusiva del cuidado y limitan su autonomia economica</w:t>
      </w:r>
    </w:p>
    <w:p>
      <w:pPr>
        <w:pStyle w:val="ListBullet"/>
        <w:spacing w:line="360" w:lineRule="auto"/>
        <w:ind w:left="720"/>
      </w:pPr>
      <w:r>
        <w:rPr>
          <w:rFonts w:ascii="Times New Roman" w:hAnsi="Times New Roman"/>
          <w:sz w:val="24"/>
        </w:rPr>
        <w:t>Causa 5: Barreras de acceso a servicios de salud preventiva y atencion primaria para madres e hijos</w:t>
      </w:r>
    </w:p>
    <w:p>
      <w:r>
        <w:rPr>
          <w:rFonts w:ascii="Times New Roman" w:hAnsi="Times New Roman"/>
          <w:b/>
          <w:i w:val="0"/>
          <w:color w:val="800000"/>
          <w:sz w:val="22"/>
        </w:rPr>
        <w:t>Efectos Principales:</w:t>
      </w:r>
    </w:p>
    <w:p>
      <w:pPr>
        <w:pStyle w:val="ListBullet"/>
        <w:spacing w:line="360" w:lineRule="auto"/>
        <w:ind w:left="720"/>
      </w:pPr>
      <w:r>
        <w:rPr>
          <w:rFonts w:ascii="Times New Roman" w:hAnsi="Times New Roman"/>
          <w:sz w:val="24"/>
        </w:rPr>
        <w:t>Efecto 1: Altas tasas de informalidad laboral femenina (superior al 50% segun estimaciones de la ENCFT)</w:t>
      </w:r>
    </w:p>
    <w:p>
      <w:pPr>
        <w:pStyle w:val="ListBullet"/>
        <w:spacing w:line="360" w:lineRule="auto"/>
        <w:ind w:left="720"/>
      </w:pPr>
      <w:r>
        <w:rPr>
          <w:rFonts w:ascii="Times New Roman" w:hAnsi="Times New Roman"/>
          <w:sz w:val="24"/>
        </w:rPr>
        <w:t>Efecto 2: Dependencia estructural de transferencias gubernamentales como unica fuente de ingreso</w:t>
      </w:r>
    </w:p>
    <w:p>
      <w:pPr>
        <w:pStyle w:val="ListBullet"/>
        <w:spacing w:line="360" w:lineRule="auto"/>
        <w:ind w:left="720"/>
      </w:pPr>
      <w:r>
        <w:rPr>
          <w:rFonts w:ascii="Times New Roman" w:hAnsi="Times New Roman"/>
          <w:sz w:val="24"/>
        </w:rPr>
        <w:t>Efecto 3: Perpetuacion del ciclo de pobreza en hogares monoparentales, con impacto intergeneracional</w:t>
      </w:r>
    </w:p>
    <w:p>
      <w:pPr>
        <w:pStyle w:val="ListBullet"/>
        <w:spacing w:line="360" w:lineRule="auto"/>
        <w:ind w:left="720"/>
      </w:pPr>
      <w:r>
        <w:rPr>
          <w:rFonts w:ascii="Times New Roman" w:hAnsi="Times New Roman"/>
          <w:sz w:val="24"/>
        </w:rPr>
        <w:t>Efecto 4: Limitadas oportunidades de movilidad social para los hijos, con incidencia en desercion escolar, trabajo infantil y embarazo adolescente</w:t>
      </w:r>
    </w:p>
    <w:p>
      <w:pPr>
        <w:pStyle w:val="ListBullet"/>
        <w:spacing w:line="360" w:lineRule="auto"/>
        <w:ind w:left="720"/>
      </w:pPr>
      <w:r>
        <w:rPr>
          <w:rFonts w:ascii="Times New Roman" w:hAnsi="Times New Roman"/>
          <w:sz w:val="24"/>
        </w:rPr>
        <w:t>Efecto 5: Mayor vulnerabilidad ante crisis economicas, climaticas y de salud publica</w:t>
      </w:r>
    </w:p>
    <w:p>
      <w:pPr>
        <w:pStyle w:val="Heading1"/>
      </w:pPr>
      <w:r>
        <w:rPr>
          <w:rFonts w:ascii="Times New Roman" w:hAnsi="Times New Roman"/>
        </w:rPr>
        <w:t>3. ALINEACION ESTRATEGICA</w:t>
      </w:r>
    </w:p>
    <w:p>
      <w:pPr>
        <w:jc w:val="both"/>
      </w:pPr>
      <w:r>
        <w:rPr>
          <w:rFonts w:ascii="Times New Roman" w:hAnsi="Times New Roman"/>
          <w:b w:val="0"/>
          <w:i w:val="0"/>
          <w:sz w:val="24"/>
        </w:rPr>
        <w:t>El presente proyecto se inscribe en un marco de alineacion multiple con las prioridades estrategicas nacionales e internacionales. Esta alineacion constituye un requisito indispensable para la elegibilidad ante organismos de cooperacion internacional, particularmente el BID y el PNUD.</w:t>
      </w:r>
    </w:p>
    <w:p>
      <w:r>
        <w:rPr>
          <w:rFonts w:ascii="Times New Roman" w:hAnsi="Times New Roman"/>
          <w:b/>
          <w:i w:val="0"/>
          <w:color w:val="003366"/>
          <w:sz w:val="24"/>
        </w:rPr>
        <w:t>Objetivos de Desarrollo Sostenible (ODS) — Agenda 2030</w:t>
      </w:r>
    </w:p>
    <w:p>
      <w:pPr>
        <w:jc w:val="both"/>
      </w:pPr>
      <w:r>
        <w:rPr>
          <w:rFonts w:ascii="Times New Roman" w:hAnsi="Times New Roman"/>
          <w:b w:val="0"/>
          <w:i w:val="0"/>
          <w:sz w:val="24"/>
        </w:rPr>
        <w:t>El proyecto contribuye directamente al logro de cuatro ODS prioritarios:</w:t>
      </w:r>
    </w:p>
    <w:p>
      <w:pPr>
        <w:pStyle w:val="ListBullet"/>
        <w:spacing w:line="360" w:lineRule="auto"/>
        <w:ind w:left="720"/>
      </w:pPr>
      <w:r>
        <w:rPr>
          <w:rFonts w:ascii="Times New Roman" w:hAnsi="Times New Roman"/>
          <w:sz w:val="24"/>
        </w:rPr>
        <w:t>ODS 1 (Fin de la Pobreza): Meta 1.2 — Reducir al menos a la mitad la proporcion de mujeres que viven en pobreza. El proyecto genera ingresos sostenibles a traves del emprendimiento femenino formal.</w:t>
      </w:r>
    </w:p>
    <w:p>
      <w:pPr>
        <w:pStyle w:val="ListBullet"/>
        <w:spacing w:line="360" w:lineRule="auto"/>
        <w:ind w:left="720"/>
      </w:pPr>
      <w:r>
        <w:rPr>
          <w:rFonts w:ascii="Times New Roman" w:hAnsi="Times New Roman"/>
          <w:sz w:val="24"/>
        </w:rPr>
        <w:t>ODS 5 (Igualdad de Genero): Meta 5.4 — Reconocer y valorar el trabajo de cuidados no remunerado; Meta 5.5 — Asegurar la participacion plena de la mujer en la economia. El proyecto provee servicios de cuidado infantil y promueve la autonomia economica.</w:t>
      </w:r>
    </w:p>
    <w:p>
      <w:pPr>
        <w:pStyle w:val="ListBullet"/>
        <w:spacing w:line="360" w:lineRule="auto"/>
        <w:ind w:left="720"/>
      </w:pPr>
      <w:r>
        <w:rPr>
          <w:rFonts w:ascii="Times New Roman" w:hAnsi="Times New Roman"/>
          <w:sz w:val="24"/>
        </w:rPr>
        <w:t>ODS 8 (Trabajo Decente y Crecimiento Economico): Meta 8.3 — Promover politicas de Desarrollo Orientado a la Inclusion Productiva y la creacion de empleo decente. El proyecto formaliza emprendimientos y genera empleo.</w:t>
      </w:r>
    </w:p>
    <w:p>
      <w:pPr>
        <w:pStyle w:val="ListBullet"/>
        <w:spacing w:line="360" w:lineRule="auto"/>
        <w:ind w:left="720"/>
      </w:pPr>
      <w:r>
        <w:rPr>
          <w:rFonts w:ascii="Times New Roman" w:hAnsi="Times New Roman"/>
          <w:sz w:val="24"/>
        </w:rPr>
        <w:t>ODS 10 (Reduccion de Desigualdades): Meta 10.2 — Potenciar y promover la inclusion social, economica y politica de todas las personas. El proyecto cierra brechas de ingreso y oportunidades para madres solteras.</w:t>
      </w:r>
    </w:p>
    <w:p>
      <w:r>
        <w:rPr>
          <w:rFonts w:ascii="Times New Roman" w:hAnsi="Times New Roman"/>
          <w:b/>
          <w:i w:val="0"/>
          <w:color w:val="003366"/>
          <w:sz w:val="24"/>
        </w:rPr>
        <w:t>Estrategia Nacional de Desarrollo 2030 (END 2030)</w:t>
      </w:r>
    </w:p>
    <w:p>
      <w:pPr>
        <w:jc w:val="both"/>
      </w:pPr>
      <w:r>
        <w:rPr>
          <w:rFonts w:ascii="Times New Roman" w:hAnsi="Times New Roman"/>
          <w:b w:val="0"/>
          <w:i w:val="0"/>
          <w:sz w:val="24"/>
        </w:rPr>
        <w:t>Ley 1-12 que establece la Estrategia Nacional de Desarrollo 2030. El proyecto se alinea con:</w:t>
      </w:r>
    </w:p>
    <w:p>
      <w:pPr>
        <w:pStyle w:val="ListBullet"/>
        <w:spacing w:line="360" w:lineRule="auto"/>
        <w:ind w:left="720"/>
      </w:pPr>
      <w:r>
        <w:rPr>
          <w:rFonts w:ascii="Times New Roman" w:hAnsi="Times New Roman"/>
          <w:sz w:val="24"/>
        </w:rPr>
        <w:t>Eje 2 (Cohesion Territorial): Objetivo General 2.3 — Reducir la pobreza y promover la inclusion social.</w:t>
      </w:r>
    </w:p>
    <w:p>
      <w:pPr>
        <w:pStyle w:val="ListBullet"/>
        <w:spacing w:line="360" w:lineRule="auto"/>
        <w:ind w:left="720"/>
      </w:pPr>
      <w:r>
        <w:rPr>
          <w:rFonts w:ascii="Times New Roman" w:hAnsi="Times New Roman"/>
          <w:sz w:val="24"/>
        </w:rPr>
        <w:t>Eje 4 (Estado Social y Democratico): Objetivo General 4.2 — Garantizar la igualdad de derechos y oportunidades para mujeres y hombres.</w:t>
      </w:r>
    </w:p>
    <w:p>
      <w:r>
        <w:rPr>
          <w:rFonts w:ascii="Times New Roman" w:hAnsi="Times New Roman"/>
          <w:b/>
          <w:i w:val="0"/>
          <w:color w:val="003366"/>
          <w:sz w:val="24"/>
        </w:rPr>
        <w:t>Marcos Internacionales</w:t>
      </w:r>
    </w:p>
    <w:p>
      <w:pPr>
        <w:pStyle w:val="ListBullet"/>
        <w:spacing w:line="360" w:lineRule="auto"/>
        <w:ind w:left="720"/>
      </w:pPr>
      <w:r>
        <w:rPr>
          <w:rFonts w:ascii="Times New Roman" w:hAnsi="Times New Roman"/>
          <w:sz w:val="24"/>
        </w:rPr>
        <w:t>CEDAW (Convencion sobre la Eliminacion de Todas las Formas de Discriminacion contra la Mujer): Articulos 10 (educacion), 11 (empleo) y 13 (vida economica y social).</w:t>
      </w:r>
    </w:p>
    <w:p>
      <w:pPr>
        <w:pStyle w:val="ListBullet"/>
        <w:spacing w:line="360" w:lineRule="auto"/>
        <w:ind w:left="720"/>
      </w:pPr>
      <w:r>
        <w:rPr>
          <w:rFonts w:ascii="Times New Roman" w:hAnsi="Times New Roman"/>
          <w:sz w:val="24"/>
        </w:rPr>
        <w:t>Plataforma de Accion de Beijing+25: Area Critica F — Mujer y Economia, Autonomia Economica.</w:t>
      </w:r>
    </w:p>
    <w:p>
      <w:pPr>
        <w:pStyle w:val="ListBullet"/>
        <w:spacing w:line="360" w:lineRule="auto"/>
        <w:ind w:left="720"/>
      </w:pPr>
      <w:r>
        <w:rPr>
          <w:rFonts w:ascii="Times New Roman" w:hAnsi="Times New Roman"/>
          <w:sz w:val="24"/>
        </w:rPr>
        <w:t>Estrategia de Montevideo para la Implementacion de la Agenda Regional de Genero en el Marco del Desarrollo Sostenible 2030.</w:t>
      </w:r>
    </w:p>
    <w:p>
      <w:pPr>
        <w:pStyle w:val="ListBullet"/>
        <w:spacing w:line="360" w:lineRule="auto"/>
        <w:ind w:left="720"/>
      </w:pPr>
      <w:r>
        <w:rPr>
          <w:rFonts w:ascii="Times New Roman" w:hAnsi="Times New Roman"/>
          <w:sz w:val="24"/>
        </w:rPr>
        <w:t>Estrategia de Pais del BID con Republica Dominicana 2022-2026: inclusión productiva y proteccion social como areas prioritarias.</w:t>
      </w:r>
    </w:p>
    <w:p>
      <w:pPr>
        <w:pStyle w:val="ListBullet"/>
        <w:spacing w:line="360" w:lineRule="auto"/>
        <w:ind w:left="720"/>
      </w:pPr>
      <w:r>
        <w:rPr>
          <w:rFonts w:ascii="Times New Roman" w:hAnsi="Times New Roman"/>
          <w:sz w:val="24"/>
        </w:rPr>
        <w:t>Programa de Pais (CPD) del PNUD para Republica Dominicana 2023-2027: enfoque en reduccion de pobreza, igualdad de genero y resiliencia climatica.</w:t>
      </w:r>
    </w:p>
    <w:p>
      <w:pPr>
        <w:pStyle w:val="ListBullet"/>
        <w:spacing w:line="360" w:lineRule="auto"/>
        <w:ind w:left="720"/>
      </w:pPr>
      <w:r>
        <w:rPr>
          <w:rFonts w:ascii="Times New Roman" w:hAnsi="Times New Roman"/>
          <w:sz w:val="24"/>
        </w:rPr>
        <w:t>Consenso de Brasilia 2023: compromisos regionales para la autonomia economica de las mujeres en America Latina.</w:t>
      </w:r>
    </w:p>
    <w:p>
      <w:pPr>
        <w:pStyle w:val="Heading1"/>
      </w:pPr>
      <w:r>
        <w:rPr>
          <w:rFonts w:ascii="Times New Roman" w:hAnsi="Times New Roman"/>
        </w:rPr>
        <w:t>4. TEORIA DE CAMBIO</w:t>
      </w:r>
    </w:p>
    <w:p>
      <w:pPr>
        <w:jc w:val="both"/>
      </w:pPr>
      <w:r>
        <w:rPr>
          <w:rFonts w:ascii="Times New Roman" w:hAnsi="Times New Roman"/>
          <w:b w:val="0"/>
          <w:i w:val="0"/>
          <w:sz w:val="24"/>
        </w:rPr>
        <w:t>La teoria de cambio constituye el marco conceptual que explica como y por que se espera que las actividades del proyecto generen los resultados deseados. A diferencia del marco logico (que describe QUÉ se va a medir), la teoria de cambio explica POR QUÉ funciona la intervencion y bajo QUE SUPUESTOS.</w:t>
      </w:r>
    </w:p>
    <w:p>
      <w:r>
        <w:rPr>
          <w:rFonts w:ascii="Times New Roman" w:hAnsi="Times New Roman"/>
          <w:b/>
          <w:i w:val="0"/>
          <w:color w:val="003366"/>
          <w:sz w:val="24"/>
        </w:rPr>
        <w:t>Enunciado Central de la Teoria de Cambio</w:t>
      </w:r>
    </w:p>
    <w:p>
      <w:pPr>
        <w:jc w:val="both"/>
      </w:pPr>
      <w:r>
        <w:rPr>
          <w:rFonts w:ascii="Times New Roman" w:hAnsi="Times New Roman"/>
          <w:b w:val="0"/>
          <w:i w:val="0"/>
          <w:sz w:val="24"/>
        </w:rPr>
        <w:t>SI una madre soltera en situacion de vulnerabilidad economica en Republica Dominicana (1) recibe formacion tecnica de calidad certificada por INFOTEP y vinculada a la demanda del mercado laboral, (2) tiene acceso a servicios de cuidado infantil para sus hijos de 0 a 10 anos durante su horario de formacion, (3) dispone de atencion medica basica preventiva y curativa para ella y sus hijos, y (4) al completar su formacion recibe capital semilla en especie y efectivo con acompanamiento empresarial personalizado, ENTONCES la madre soltera podra generar ingresos sostenibles que le permitan superar la pobreza, formalizar su emprendimiento, mejorar la calidad de vida de sus hijos y romper el ciclo intergeneracional de pobreza.</w:t>
      </w:r>
    </w:p>
    <w:p>
      <w:r>
        <w:rPr>
          <w:rFonts w:ascii="Times New Roman" w:hAnsi="Times New Roman"/>
          <w:b/>
          <w:i w:val="0"/>
          <w:color w:val="003366"/>
          <w:sz w:val="24"/>
        </w:rPr>
        <w:t>Cadena Causal</w:t>
      </w:r>
    </w:p>
    <w:p>
      <w:r>
        <w:rPr>
          <w:rFonts w:ascii="Times New Roman" w:hAnsi="Times New Roman"/>
          <w:b w:val="0"/>
          <w:i w:val="0"/>
          <w:sz w:val="4"/>
        </w:rPr>
      </w:r>
    </w:p>
    <w:p>
      <w:r>
        <w:rPr>
          <w:rFonts w:ascii="Times New Roman" w:hAnsi="Times New Roman"/>
          <w:b/>
          <w:i w:val="0"/>
          <w:color w:val="003366"/>
          <w:sz w:val="22"/>
        </w:rPr>
        <w:t>INSUMOS (INPUTS):</w:t>
      </w:r>
    </w:p>
    <w:p>
      <w:pPr>
        <w:pStyle w:val="ListBullet"/>
        <w:spacing w:line="360" w:lineRule="auto"/>
        <w:ind w:left="720"/>
      </w:pPr>
      <w:r>
        <w:rPr>
          <w:rFonts w:ascii="Times New Roman" w:hAnsi="Times New Roman"/>
          <w:sz w:val="24"/>
        </w:rPr>
        <w:t>Inversion en infraestructura fisica: construccion/adecuacion del centro (10-15 aulas, talleres, guarderia, dispensario, areas administrativas)</w:t>
      </w:r>
    </w:p>
    <w:p>
      <w:pPr>
        <w:pStyle w:val="ListBullet"/>
        <w:spacing w:line="360" w:lineRule="auto"/>
        <w:ind w:left="720"/>
      </w:pPr>
      <w:r>
        <w:rPr>
          <w:rFonts w:ascii="Times New Roman" w:hAnsi="Times New Roman"/>
          <w:sz w:val="24"/>
        </w:rPr>
        <w:t>Equipamiento especializado: equipos para talleres de estetica, gastronomia, textil, tecnologia y manualidades</w:t>
      </w:r>
    </w:p>
    <w:p>
      <w:pPr>
        <w:pStyle w:val="ListBullet"/>
        <w:spacing w:line="360" w:lineRule="auto"/>
        <w:ind w:left="720"/>
      </w:pPr>
      <w:r>
        <w:rPr>
          <w:rFonts w:ascii="Times New Roman" w:hAnsi="Times New Roman"/>
          <w:sz w:val="24"/>
        </w:rPr>
        <w:t>Capital humano: instructores certificados INFOTEP, educadoras infantiles, personal medico, psicologas, personal administrativo</w:t>
      </w:r>
    </w:p>
    <w:p>
      <w:pPr>
        <w:pStyle w:val="ListBullet"/>
        <w:spacing w:line="360" w:lineRule="auto"/>
        <w:ind w:left="720"/>
      </w:pPr>
      <w:r>
        <w:rPr>
          <w:rFonts w:ascii="Times New Roman" w:hAnsi="Times New Roman"/>
          <w:sz w:val="24"/>
        </w:rPr>
        <w:t>Capital financiero: fondo de capital semilla para emprendimientos</w:t>
      </w:r>
    </w:p>
    <w:p>
      <w:pPr>
        <w:pStyle w:val="ListBullet"/>
        <w:spacing w:line="360" w:lineRule="auto"/>
        <w:ind w:left="720"/>
      </w:pPr>
      <w:r>
        <w:rPr>
          <w:rFonts w:ascii="Times New Roman" w:hAnsi="Times New Roman"/>
          <w:sz w:val="24"/>
        </w:rPr>
        <w:t>Alianzas interinstitucionales: convenios con INFOTEP, MICM, Superate, Ministerio de la Mujer, Banca Solidaria, sector privado</w:t>
      </w:r>
    </w:p>
    <w:p>
      <w:r>
        <w:rPr>
          <w:rFonts w:ascii="Times New Roman" w:hAnsi="Times New Roman"/>
          <w:b/>
          <w:i w:val="0"/>
          <w:color w:val="003366"/>
          <w:sz w:val="22"/>
        </w:rPr>
        <w:t>PRODUCTOS (OUTPUTS):</w:t>
      </w:r>
    </w:p>
    <w:p>
      <w:pPr>
        <w:pStyle w:val="ListBullet"/>
        <w:spacing w:line="360" w:lineRule="auto"/>
        <w:ind w:left="720"/>
      </w:pPr>
      <w:r>
        <w:rPr>
          <w:rFonts w:ascii="Times New Roman" w:hAnsi="Times New Roman"/>
          <w:sz w:val="24"/>
        </w:rPr>
        <w:t>Output 1.1: 300-450 madres certificadas anualmente en oficios tecnicos con aval INFOTEP</w:t>
      </w:r>
    </w:p>
    <w:p>
      <w:pPr>
        <w:pStyle w:val="ListBullet"/>
        <w:spacing w:line="360" w:lineRule="auto"/>
        <w:ind w:left="720"/>
      </w:pPr>
      <w:r>
        <w:rPr>
          <w:rFonts w:ascii="Times New Roman" w:hAnsi="Times New Roman"/>
          <w:sz w:val="24"/>
        </w:rPr>
        <w:t>Output 1.2: Curriculos estandarizados por disciplina con modulo transversal empresarial</w:t>
      </w:r>
    </w:p>
    <w:p>
      <w:pPr>
        <w:pStyle w:val="ListBullet"/>
        <w:spacing w:line="360" w:lineRule="auto"/>
        <w:ind w:left="720"/>
      </w:pPr>
      <w:r>
        <w:rPr>
          <w:rFonts w:ascii="Times New Roman" w:hAnsi="Times New Roman"/>
          <w:sz w:val="24"/>
        </w:rPr>
        <w:t>Output 2.1: Planes de negocio elaborados y viabilizados tecnicamente</w:t>
      </w:r>
    </w:p>
    <w:p>
      <w:pPr>
        <w:pStyle w:val="ListBullet"/>
        <w:spacing w:line="360" w:lineRule="auto"/>
        <w:ind w:left="720"/>
      </w:pPr>
      <w:r>
        <w:rPr>
          <w:rFonts w:ascii="Times New Roman" w:hAnsi="Times New Roman"/>
          <w:sz w:val="24"/>
        </w:rPr>
        <w:t>Output 2.2: Capital semilla entregado a madres graduadas (70% especie + 30% efectivo)</w:t>
      </w:r>
    </w:p>
    <w:p>
      <w:pPr>
        <w:pStyle w:val="ListBullet"/>
        <w:spacing w:line="360" w:lineRule="auto"/>
        <w:ind w:left="720"/>
      </w:pPr>
      <w:r>
        <w:rPr>
          <w:rFonts w:ascii="Times New Roman" w:hAnsi="Times New Roman"/>
          <w:sz w:val="24"/>
        </w:rPr>
        <w:t>Output 3.1: 200-400 ninos de 0-10 anos atendidos diariamente en guarderia con alimentacion y estimulacion</w:t>
      </w:r>
    </w:p>
    <w:p>
      <w:pPr>
        <w:pStyle w:val="ListBullet"/>
        <w:spacing w:line="360" w:lineRule="auto"/>
        <w:ind w:left="720"/>
      </w:pPr>
      <w:r>
        <w:rPr>
          <w:rFonts w:ascii="Times New Roman" w:hAnsi="Times New Roman"/>
          <w:sz w:val="24"/>
        </w:rPr>
        <w:t>Output 3.2: Atenciones medicas preventivas y curativas en medicina general, pediatria y psicologia</w:t>
      </w:r>
    </w:p>
    <w:p>
      <w:pPr>
        <w:pStyle w:val="ListBullet"/>
        <w:spacing w:line="360" w:lineRule="auto"/>
        <w:ind w:left="720"/>
      </w:pPr>
      <w:r>
        <w:rPr>
          <w:rFonts w:ascii="Times New Roman" w:hAnsi="Times New Roman"/>
          <w:sz w:val="24"/>
        </w:rPr>
        <w:t>Output 4.1: Convenios interinstitucionales activos y operativos</w:t>
      </w:r>
    </w:p>
    <w:p>
      <w:pPr>
        <w:pStyle w:val="ListBullet"/>
        <w:spacing w:line="360" w:lineRule="auto"/>
        <w:ind w:left="720"/>
      </w:pPr>
      <w:r>
        <w:rPr>
          <w:rFonts w:ascii="Times New Roman" w:hAnsi="Times New Roman"/>
          <w:sz w:val="24"/>
        </w:rPr>
        <w:t>Output 4.2: Sistema de monitoreo y evaluacion implementado con plataforma digital</w:t>
      </w:r>
    </w:p>
    <w:p>
      <w:r>
        <w:rPr>
          <w:rFonts w:ascii="Times New Roman" w:hAnsi="Times New Roman"/>
          <w:b/>
          <w:i w:val="0"/>
          <w:color w:val="003366"/>
          <w:sz w:val="22"/>
        </w:rPr>
        <w:t>RESULTADOS (OUTCOMES):</w:t>
      </w:r>
    </w:p>
    <w:p>
      <w:pPr>
        <w:pStyle w:val="ListBullet"/>
        <w:spacing w:line="360" w:lineRule="auto"/>
        <w:ind w:left="720"/>
      </w:pPr>
      <w:r>
        <w:rPr>
          <w:rFonts w:ascii="Times New Roman" w:hAnsi="Times New Roman"/>
          <w:sz w:val="24"/>
        </w:rPr>
        <w:t>Outcome 1: Incremento del ingreso familiar promedio de las beneficiarias en al menos un 50% a 24 meses de la graduacion</w:t>
      </w:r>
    </w:p>
    <w:p>
      <w:pPr>
        <w:pStyle w:val="ListBullet"/>
        <w:spacing w:line="360" w:lineRule="auto"/>
        <w:ind w:left="720"/>
      </w:pPr>
      <w:r>
        <w:rPr>
          <w:rFonts w:ascii="Times New Roman" w:hAnsi="Times New Roman"/>
          <w:sz w:val="24"/>
        </w:rPr>
        <w:t>Outcome 2: Reduccion de la dependencia de transferencias gubernamentales (Superate) en al menos un 40% de las beneficiarias</w:t>
      </w:r>
    </w:p>
    <w:p>
      <w:pPr>
        <w:pStyle w:val="ListBullet"/>
        <w:spacing w:line="360" w:lineRule="auto"/>
        <w:ind w:left="720"/>
      </w:pPr>
      <w:r>
        <w:rPr>
          <w:rFonts w:ascii="Times New Roman" w:hAnsi="Times New Roman"/>
          <w:sz w:val="24"/>
        </w:rPr>
        <w:t>Outcome 3: Mejora en indicadores de salud y nutricion infantil de los hijos de las beneficiarias</w:t>
      </w:r>
    </w:p>
    <w:p>
      <w:pPr>
        <w:pStyle w:val="ListBullet"/>
        <w:spacing w:line="360" w:lineRule="auto"/>
        <w:ind w:left="720"/>
      </w:pPr>
      <w:r>
        <w:rPr>
          <w:rFonts w:ascii="Times New Roman" w:hAnsi="Times New Roman"/>
          <w:sz w:val="24"/>
        </w:rPr>
        <w:t>Outcome 4: Fortalecimiento de la autoestima, capacidad de agencia y liderazgo de las madres participantes</w:t>
      </w:r>
    </w:p>
    <w:p>
      <w:r>
        <w:rPr>
          <w:rFonts w:ascii="Times New Roman" w:hAnsi="Times New Roman"/>
          <w:b/>
          <w:i w:val="0"/>
          <w:color w:val="003366"/>
          <w:sz w:val="22"/>
        </w:rPr>
        <w:t>IMPACTO:</w:t>
      </w:r>
    </w:p>
    <w:p>
      <w:pPr>
        <w:pStyle w:val="ListBullet"/>
        <w:spacing w:line="360" w:lineRule="auto"/>
        <w:ind w:left="720"/>
      </w:pPr>
      <w:r>
        <w:rPr>
          <w:rFonts w:ascii="Times New Roman" w:hAnsi="Times New Roman"/>
          <w:sz w:val="24"/>
        </w:rPr>
        <w:t>Impacto 1: Ruptura del ciclo intergeneracional de pobreza en hogares monoparentales femeninos en Santo Domingo</w:t>
      </w:r>
    </w:p>
    <w:p>
      <w:pPr>
        <w:pStyle w:val="ListBullet"/>
        <w:spacing w:line="360" w:lineRule="auto"/>
        <w:ind w:left="720"/>
      </w:pPr>
      <w:r>
        <w:rPr>
          <w:rFonts w:ascii="Times New Roman" w:hAnsi="Times New Roman"/>
          <w:sz w:val="24"/>
        </w:rPr>
        <w:t>Impacto 2: Contribucion medible a la reduccion de la desigualdad de genero en Republica Dominicana</w:t>
      </w:r>
    </w:p>
    <w:p>
      <w:pPr>
        <w:pStyle w:val="ListBullet"/>
        <w:spacing w:line="360" w:lineRule="auto"/>
        <w:ind w:left="720"/>
      </w:pPr>
      <w:r>
        <w:rPr>
          <w:rFonts w:ascii="Times New Roman" w:hAnsi="Times New Roman"/>
          <w:sz w:val="24"/>
        </w:rPr>
        <w:t>Impacto 3: Generacion de un modelo replicable de inclusion productiva con enfoque de genero, transferible a otras provincias</w:t>
      </w:r>
    </w:p>
    <w:p>
      <w:r>
        <w:rPr>
          <w:rFonts w:ascii="Times New Roman" w:hAnsi="Times New Roman"/>
          <w:b w:val="0"/>
          <w:i w:val="0"/>
          <w:sz w:val="8"/>
        </w:rPr>
      </w:r>
    </w:p>
    <w:p>
      <w:r>
        <w:rPr>
          <w:rFonts w:ascii="Times New Roman" w:hAnsi="Times New Roman"/>
          <w:b/>
          <w:i w:val="0"/>
          <w:color w:val="800000"/>
          <w:sz w:val="22"/>
        </w:rPr>
        <w:t>Supuestos Criticos:</w:t>
      </w:r>
    </w:p>
    <w:p>
      <w:pPr>
        <w:pStyle w:val="ListBullet"/>
        <w:spacing w:line="360" w:lineRule="auto"/>
        <w:ind w:left="720"/>
      </w:pPr>
      <w:r>
        <w:rPr>
          <w:rFonts w:ascii="Times New Roman" w:hAnsi="Times New Roman"/>
          <w:sz w:val="24"/>
        </w:rPr>
        <w:t>S1: Existe demanda efectiva de madres solteras dispuestas a comprometerse con un programa de formacion intensiva</w:t>
      </w:r>
    </w:p>
    <w:p>
      <w:pPr>
        <w:pStyle w:val="ListBullet"/>
        <w:spacing w:line="360" w:lineRule="auto"/>
        <w:ind w:left="720"/>
      </w:pPr>
      <w:r>
        <w:rPr>
          <w:rFonts w:ascii="Times New Roman" w:hAnsi="Times New Roman"/>
          <w:sz w:val="24"/>
        </w:rPr>
        <w:t>S2: El mercado laboral dominicano absorbe a las egresadas o sus emprendimientos generan ingresos suficientes</w:t>
      </w:r>
    </w:p>
    <w:p>
      <w:pPr>
        <w:pStyle w:val="ListBullet"/>
        <w:spacing w:line="360" w:lineRule="auto"/>
        <w:ind w:left="720"/>
      </w:pPr>
      <w:r>
        <w:rPr>
          <w:rFonts w:ascii="Times New Roman" w:hAnsi="Times New Roman"/>
          <w:sz w:val="24"/>
        </w:rPr>
        <w:t>S3: Las contrapartes institucionales cumplen con los compromisos de cofinanciamiento y aportes en especie</w:t>
      </w:r>
    </w:p>
    <w:p>
      <w:pPr>
        <w:pStyle w:val="ListBullet"/>
        <w:spacing w:line="360" w:lineRule="auto"/>
        <w:ind w:left="720"/>
      </w:pPr>
      <w:r>
        <w:rPr>
          <w:rFonts w:ascii="Times New Roman" w:hAnsi="Times New Roman"/>
          <w:sz w:val="24"/>
        </w:rPr>
        <w:t>S4: La inflacion y la volatilidad del tipo de cambio no desvian significativamente el presupuesto</w:t>
      </w:r>
    </w:p>
    <w:p>
      <w:pPr>
        <w:pStyle w:val="ListBullet"/>
        <w:spacing w:line="360" w:lineRule="auto"/>
        <w:ind w:left="720"/>
      </w:pPr>
      <w:r>
        <w:rPr>
          <w:rFonts w:ascii="Times New Roman" w:hAnsi="Times New Roman"/>
          <w:sz w:val="24"/>
        </w:rPr>
        <w:t>S5: Las madres participantes mantienen la adhesion al programa a pesar de las multiples barreras que enfrentan</w:t>
      </w:r>
    </w:p>
    <w:p>
      <w:pPr>
        <w:pStyle w:val="Heading1"/>
      </w:pPr>
      <w:r>
        <w:rPr>
          <w:rFonts w:ascii="Times New Roman" w:hAnsi="Times New Roman"/>
        </w:rPr>
        <w:t>5. MARCO LOGICO / RESULTS FRAMEWORK</w:t>
      </w:r>
    </w:p>
    <w:p>
      <w:pPr>
        <w:jc w:val="both"/>
      </w:pPr>
      <w:r>
        <w:rPr>
          <w:rFonts w:ascii="Times New Roman" w:hAnsi="Times New Roman"/>
          <w:b w:val="0"/>
          <w:i w:val="0"/>
          <w:sz w:val="24"/>
        </w:rPr>
        <w:t>La matriz de marco logico (Logical Framework Matrix — LFM) constituye la herramienta principal de gestion del proyecto. Sigue la estructura estandar 4x4 del BID, complementada con los requisitos de resultados (Results Framework) del PNUD. Todos los indicadores estan desagregados por sexo (mujeres/hombres) y por grupo etario donde corresponda, cumpliendo con los requisitos de gender mainstreaming de ambas instituciones.</w:t>
      </w:r>
    </w:p>
    <w:p>
      <w:r>
        <w:rPr>
          <w:rFonts w:ascii="Times New Roman" w:hAnsi="Times New Roman"/>
          <w:b w:val="0"/>
          <w:i w:val="0"/>
          <w:sz w:val="8"/>
        </w:rPr>
      </w:r>
    </w:p>
    <w:p>
      <w:pPr>
        <w:jc w:val="center"/>
      </w:pPr>
      <w:r>
        <w:rPr>
          <w:rFonts w:ascii="Times New Roman" w:hAnsi="Times New Roman"/>
          <w:b/>
          <w:i w:val="0"/>
          <w:sz w:val="20"/>
        </w:rPr>
        <w:t>Matriz de Marco Logico — Centro Integral de Capacitacion y Emprendimiento para Madres Solteras</w:t>
      </w:r>
    </w:p>
    <w:tbl>
      <w:tblPr>
        <w:tblStyle w:val="TableGrid"/>
        <w:tblW w:type="auto" w:w="0"/>
        <w:jc w:val="center"/>
        <w:tblLook w:firstColumn="1" w:firstRow="1" w:lastColumn="0" w:lastRow="0" w:noHBand="0" w:noVBand="1" w:val="04A0"/>
      </w:tblPr>
      <w:tblGrid>
        <w:gridCol w:w="1799"/>
        <w:gridCol w:w="1799"/>
        <w:gridCol w:w="1799"/>
        <w:gridCol w:w="1799"/>
        <w:gridCol w:w="1799"/>
      </w:tblGrid>
      <w:tr>
        <w:tc>
          <w:tcPr>
            <w:tcW w:type="dxa" w:w="1984"/>
            <w:shd w:fill="003366" w:val="clear"/>
          </w:tcPr>
          <w:p>
            <w:pPr>
              <w:jc w:val="center"/>
            </w:pPr>
            <w:r/>
            <w:r>
              <w:rPr>
                <w:rFonts w:ascii="Times New Roman" w:hAnsi="Times New Roman"/>
                <w:b/>
                <w:color w:val="FFFFFF"/>
                <w:sz w:val="20"/>
              </w:rPr>
              <w:t>Nivel / Objetivo</w:t>
            </w:r>
          </w:p>
        </w:tc>
        <w:tc>
          <w:tcPr>
            <w:tcW w:type="dxa" w:w="1984"/>
            <w:shd w:fill="003366" w:val="clear"/>
          </w:tcPr>
          <w:p>
            <w:pPr>
              <w:jc w:val="center"/>
            </w:pPr>
            <w:r/>
            <w:r>
              <w:rPr>
                <w:rFonts w:ascii="Times New Roman" w:hAnsi="Times New Roman"/>
                <w:b/>
                <w:color w:val="FFFFFF"/>
                <w:sz w:val="20"/>
              </w:rPr>
              <w:t>Indicador SMART</w:t>
            </w:r>
          </w:p>
        </w:tc>
        <w:tc>
          <w:tcPr>
            <w:tcW w:type="dxa" w:w="1417"/>
            <w:shd w:fill="003366" w:val="clear"/>
          </w:tcPr>
          <w:p>
            <w:pPr>
              <w:jc w:val="center"/>
            </w:pPr>
            <w:r/>
            <w:r>
              <w:rPr>
                <w:rFonts w:ascii="Times New Roman" w:hAnsi="Times New Roman"/>
                <w:b/>
                <w:color w:val="FFFFFF"/>
                <w:sz w:val="20"/>
              </w:rPr>
              <w:t>Linea Base</w:t>
            </w:r>
          </w:p>
        </w:tc>
        <w:tc>
          <w:tcPr>
            <w:tcW w:type="dxa" w:w="1417"/>
            <w:shd w:fill="003366" w:val="clear"/>
          </w:tcPr>
          <w:p>
            <w:pPr>
              <w:jc w:val="center"/>
            </w:pPr>
            <w:r/>
            <w:r>
              <w:rPr>
                <w:rFonts w:ascii="Times New Roman" w:hAnsi="Times New Roman"/>
                <w:b/>
                <w:color w:val="FFFFFF"/>
                <w:sz w:val="20"/>
              </w:rPr>
              <w:t>Meta 5 anos</w:t>
            </w:r>
          </w:p>
        </w:tc>
        <w:tc>
          <w:tcPr>
            <w:tcW w:type="dxa" w:w="1984"/>
            <w:shd w:fill="003366" w:val="clear"/>
          </w:tcPr>
          <w:p>
            <w:pPr>
              <w:jc w:val="center"/>
            </w:pPr>
            <w:r/>
            <w:r>
              <w:rPr>
                <w:rFonts w:ascii="Times New Roman" w:hAnsi="Times New Roman"/>
                <w:b/>
                <w:color w:val="FFFFFF"/>
                <w:sz w:val="20"/>
              </w:rPr>
              <w:t>Medio de Verificacion</w:t>
            </w:r>
          </w:p>
        </w:tc>
      </w:tr>
      <w:tr>
        <w:tc>
          <w:tcPr>
            <w:tcW w:type="dxa" w:w="1984"/>
          </w:tcPr>
          <w:p>
            <w:r/>
            <w:r>
              <w:rPr>
                <w:rFonts w:ascii="Times New Roman" w:hAnsi="Times New Roman"/>
                <w:b/>
                <w:sz w:val="20"/>
              </w:rPr>
              <w:t>FIN</w:t>
              <w:br/>
              <w:t>Reducir la incidencia de pobreza en hogares monoparentales encabezados por madres solteras en Santo Domingo</w:t>
            </w:r>
          </w:p>
        </w:tc>
        <w:tc>
          <w:tcPr>
            <w:tcW w:type="dxa" w:w="1984"/>
          </w:tcPr>
          <w:p>
            <w:r/>
            <w:r>
              <w:rPr>
                <w:rFonts w:ascii="Times New Roman" w:hAnsi="Times New Roman"/>
                <w:sz w:val="20"/>
              </w:rPr>
              <w:t>Tasa de empleo/emprendimiento formal de madres participantes a 24 meses de graduacion</w:t>
            </w:r>
          </w:p>
        </w:tc>
        <w:tc>
          <w:tcPr>
            <w:tcW w:type="dxa" w:w="1417"/>
          </w:tcPr>
          <w:p>
            <w:r/>
            <w:r>
              <w:rPr>
                <w:rFonts w:ascii="Times New Roman" w:hAnsi="Times New Roman"/>
                <w:sz w:val="20"/>
              </w:rPr>
              <w:t>Linea base: 0% (poblacion en situacion de informalidad o desempleo)</w:t>
            </w:r>
          </w:p>
        </w:tc>
        <w:tc>
          <w:tcPr>
            <w:tcW w:type="dxa" w:w="1417"/>
          </w:tcPr>
          <w:p>
            <w:r/>
            <w:r>
              <w:rPr>
                <w:rFonts w:ascii="Times New Roman" w:hAnsi="Times New Roman"/>
                <w:sz w:val="20"/>
              </w:rPr>
              <w:t>+30% a 5 anos del inicio del proyecto</w:t>
            </w:r>
          </w:p>
        </w:tc>
        <w:tc>
          <w:tcPr>
            <w:tcW w:type="dxa" w:w="1984"/>
          </w:tcPr>
          <w:p>
            <w:r/>
            <w:r>
              <w:rPr>
                <w:rFonts w:ascii="Times New Roman" w:hAnsi="Times New Roman"/>
                <w:sz w:val="20"/>
              </w:rPr>
              <w:t>ENCFT, ONE, encuesta de seguimiento de egresadas</w:t>
            </w:r>
          </w:p>
        </w:tc>
      </w:tr>
      <w:tr>
        <w:tc>
          <w:tcPr>
            <w:tcW w:type="dxa" w:w="1984"/>
          </w:tcPr>
          <w:p>
            <w:r/>
            <w:r>
              <w:rPr>
                <w:rFonts w:ascii="Times New Roman" w:hAnsi="Times New Roman"/>
                <w:b/>
                <w:sz w:val="20"/>
              </w:rPr>
              <w:t>PROPOSITO</w:t>
              <w:br/>
              <w:t>Madres solteras generan ingresos sostenibles mediante emprendimiento formal</w:t>
            </w:r>
          </w:p>
        </w:tc>
        <w:tc>
          <w:tcPr>
            <w:tcW w:type="dxa" w:w="1984"/>
          </w:tcPr>
          <w:p>
            <w:r/>
            <w:r>
              <w:rPr>
                <w:rFonts w:ascii="Times New Roman" w:hAnsi="Times New Roman"/>
                <w:sz w:val="20"/>
              </w:rPr>
              <w:t>Porcentaje de madres con ingreso autonomo &gt;= 1.5 salarios minimos a 24 meses de graduacion</w:t>
            </w:r>
          </w:p>
        </w:tc>
        <w:tc>
          <w:tcPr>
            <w:tcW w:type="dxa" w:w="1417"/>
          </w:tcPr>
          <w:p>
            <w:r/>
            <w:r>
              <w:rPr>
                <w:rFonts w:ascii="Times New Roman" w:hAnsi="Times New Roman"/>
                <w:sz w:val="20"/>
              </w:rPr>
              <w:t>Linea base: 0 (dependen de transferencias o empleo informal)</w:t>
            </w:r>
          </w:p>
        </w:tc>
        <w:tc>
          <w:tcPr>
            <w:tcW w:type="dxa" w:w="1417"/>
          </w:tcPr>
          <w:p>
            <w:r/>
            <w:r>
              <w:rPr>
                <w:rFonts w:ascii="Times New Roman" w:hAnsi="Times New Roman"/>
                <w:sz w:val="20"/>
              </w:rPr>
              <w:t>70% de las graduadas a 24 meses</w:t>
            </w:r>
          </w:p>
        </w:tc>
        <w:tc>
          <w:tcPr>
            <w:tcW w:type="dxa" w:w="1984"/>
          </w:tcPr>
          <w:p>
            <w:r/>
            <w:r>
              <w:rPr>
                <w:rFonts w:ascii="Times New Roman" w:hAnsi="Times New Roman"/>
                <w:sz w:val="20"/>
              </w:rPr>
              <w:t>Registros administrativos del centro, encuesta de egresadas</w:t>
            </w:r>
          </w:p>
        </w:tc>
      </w:tr>
      <w:tr>
        <w:tc>
          <w:tcPr>
            <w:tcW w:type="dxa" w:w="1984"/>
          </w:tcPr>
          <w:p>
            <w:r/>
            <w:r>
              <w:rPr>
                <w:rFonts w:ascii="Times New Roman" w:hAnsi="Times New Roman"/>
                <w:b/>
                <w:sz w:val="20"/>
              </w:rPr>
              <w:t>C1: FORMACION</w:t>
              <w:br/>
              <w:t>Madres certificadas en oficios tecnicos con demanda de mercado</w:t>
            </w:r>
          </w:p>
        </w:tc>
        <w:tc>
          <w:tcPr>
            <w:tcW w:type="dxa" w:w="1984"/>
          </w:tcPr>
          <w:p>
            <w:r/>
            <w:r>
              <w:rPr>
                <w:rFonts w:ascii="Times New Roman" w:hAnsi="Times New Roman"/>
                <w:sz w:val="20"/>
              </w:rPr>
              <w:t>Numero de madres certificadas por INFOTEP por disciplina y por ciclo</w:t>
            </w:r>
          </w:p>
        </w:tc>
        <w:tc>
          <w:tcPr>
            <w:tcW w:type="dxa" w:w="1417"/>
          </w:tcPr>
          <w:p>
            <w:r/>
            <w:r>
              <w:rPr>
                <w:rFonts w:ascii="Times New Roman" w:hAnsi="Times New Roman"/>
                <w:sz w:val="20"/>
              </w:rPr>
              <w:t>0 certificadas</w:t>
            </w:r>
          </w:p>
        </w:tc>
        <w:tc>
          <w:tcPr>
            <w:tcW w:type="dxa" w:w="1417"/>
          </w:tcPr>
          <w:p>
            <w:r/>
            <w:r>
              <w:rPr>
                <w:rFonts w:ascii="Times New Roman" w:hAnsi="Times New Roman"/>
                <w:sz w:val="20"/>
              </w:rPr>
              <w:t>300-450 por ano (1,500-2,250 en 5 anos)</w:t>
            </w:r>
          </w:p>
        </w:tc>
        <w:tc>
          <w:tcPr>
            <w:tcW w:type="dxa" w:w="1984"/>
          </w:tcPr>
          <w:p>
            <w:r/>
            <w:r>
              <w:rPr>
                <w:rFonts w:ascii="Times New Roman" w:hAnsi="Times New Roman"/>
                <w:sz w:val="20"/>
              </w:rPr>
              <w:t>Registros INFOTEP, actas de certificacion</w:t>
            </w:r>
          </w:p>
        </w:tc>
      </w:tr>
      <w:tr>
        <w:tc>
          <w:tcPr>
            <w:tcW w:type="dxa" w:w="1984"/>
          </w:tcPr>
          <w:p>
            <w:r/>
            <w:r>
              <w:rPr>
                <w:rFonts w:ascii="Times New Roman" w:hAnsi="Times New Roman"/>
                <w:b/>
                <w:sz w:val="20"/>
              </w:rPr>
              <w:t>C2: CAPITAL SEMILLA</w:t>
              <w:br/>
              <w:t>Emprendimientos formalizados y operando</w:t>
            </w:r>
          </w:p>
        </w:tc>
        <w:tc>
          <w:tcPr>
            <w:tcW w:type="dxa" w:w="1984"/>
          </w:tcPr>
          <w:p>
            <w:r/>
            <w:r>
              <w:rPr>
                <w:rFonts w:ascii="Times New Roman" w:hAnsi="Times New Roman"/>
                <w:sz w:val="20"/>
              </w:rPr>
              <w:t>Porcentaje de emprendimientos con RNC, registro mercantil y facturacion activa</w:t>
            </w:r>
          </w:p>
        </w:tc>
        <w:tc>
          <w:tcPr>
            <w:tcW w:type="dxa" w:w="1417"/>
          </w:tcPr>
          <w:p>
            <w:r/>
            <w:r>
              <w:rPr>
                <w:rFonts w:ascii="Times New Roman" w:hAnsi="Times New Roman"/>
                <w:sz w:val="20"/>
              </w:rPr>
              <w:t>0 emprendimientos formalizados</w:t>
            </w:r>
          </w:p>
        </w:tc>
        <w:tc>
          <w:tcPr>
            <w:tcW w:type="dxa" w:w="1417"/>
          </w:tcPr>
          <w:p>
            <w:r/>
            <w:r>
              <w:rPr>
                <w:rFonts w:ascii="Times New Roman" w:hAnsi="Times New Roman"/>
                <w:sz w:val="20"/>
              </w:rPr>
              <w:t>60% de las beneficiarias de capital semilla a 12 meses</w:t>
            </w:r>
          </w:p>
        </w:tc>
        <w:tc>
          <w:tcPr>
            <w:tcW w:type="dxa" w:w="1984"/>
          </w:tcPr>
          <w:p>
            <w:r/>
            <w:r>
              <w:rPr>
                <w:rFonts w:ascii="Times New Roman" w:hAnsi="Times New Roman"/>
                <w:sz w:val="20"/>
              </w:rPr>
              <w:t>Registro MICM, OneStopShop, declaraciones fiscales</w:t>
            </w:r>
          </w:p>
        </w:tc>
      </w:tr>
      <w:tr>
        <w:tc>
          <w:tcPr>
            <w:tcW w:type="dxa" w:w="1984"/>
          </w:tcPr>
          <w:p>
            <w:r/>
            <w:r>
              <w:rPr>
                <w:rFonts w:ascii="Times New Roman" w:hAnsi="Times New Roman"/>
                <w:b/>
                <w:sz w:val="20"/>
              </w:rPr>
              <w:t>C3: SERVICIOS</w:t>
              <w:br/>
              <w:t>Ninos atendidos en guarderia con alimentacion y estimulacion</w:t>
            </w:r>
          </w:p>
        </w:tc>
        <w:tc>
          <w:tcPr>
            <w:tcW w:type="dxa" w:w="1984"/>
          </w:tcPr>
          <w:p>
            <w:r/>
            <w:r>
              <w:rPr>
                <w:rFonts w:ascii="Times New Roman" w:hAnsi="Times New Roman"/>
                <w:sz w:val="20"/>
              </w:rPr>
              <w:t>Ninos/as de 0-10 anos atendidos diariamente en la guarderia del centro</w:t>
            </w:r>
          </w:p>
        </w:tc>
        <w:tc>
          <w:tcPr>
            <w:tcW w:type="dxa" w:w="1417"/>
          </w:tcPr>
          <w:p>
            <w:r/>
            <w:r>
              <w:rPr>
                <w:rFonts w:ascii="Times New Roman" w:hAnsi="Times New Roman"/>
                <w:sz w:val="20"/>
              </w:rPr>
              <w:t>0 ninos atendidos</w:t>
            </w:r>
          </w:p>
        </w:tc>
        <w:tc>
          <w:tcPr>
            <w:tcW w:type="dxa" w:w="1417"/>
          </w:tcPr>
          <w:p>
            <w:r/>
            <w:r>
              <w:rPr>
                <w:rFonts w:ascii="Times New Roman" w:hAnsi="Times New Roman"/>
                <w:sz w:val="20"/>
              </w:rPr>
              <w:t>200-400 por ano</w:t>
            </w:r>
          </w:p>
        </w:tc>
        <w:tc>
          <w:tcPr>
            <w:tcW w:type="dxa" w:w="1984"/>
          </w:tcPr>
          <w:p>
            <w:r/>
            <w:r>
              <w:rPr>
                <w:rFonts w:ascii="Times New Roman" w:hAnsi="Times New Roman"/>
                <w:sz w:val="20"/>
              </w:rPr>
              <w:t>Registros de asistencia, fichas de ingreso</w:t>
            </w:r>
          </w:p>
        </w:tc>
      </w:tr>
      <w:tr>
        <w:tc>
          <w:tcPr>
            <w:tcW w:type="dxa" w:w="1984"/>
          </w:tcPr>
          <w:p>
            <w:r/>
            <w:r>
              <w:rPr>
                <w:rFonts w:ascii="Times New Roman" w:hAnsi="Times New Roman"/>
                <w:b/>
                <w:sz w:val="20"/>
              </w:rPr>
              <w:t>C3: SALUD</w:t>
              <w:br/>
              <w:t>Atenciones medicas preventivas y curativas realizadas</w:t>
            </w:r>
          </w:p>
        </w:tc>
        <w:tc>
          <w:tcPr>
            <w:tcW w:type="dxa" w:w="1984"/>
          </w:tcPr>
          <w:p>
            <w:r/>
            <w:r>
              <w:rPr>
                <w:rFonts w:ascii="Times New Roman" w:hAnsi="Times New Roman"/>
                <w:sz w:val="20"/>
              </w:rPr>
              <w:t>Numero de atenciones medicas por especialidad (general, pediatria, psicologia)</w:t>
            </w:r>
          </w:p>
        </w:tc>
        <w:tc>
          <w:tcPr>
            <w:tcW w:type="dxa" w:w="1417"/>
          </w:tcPr>
          <w:p>
            <w:r/>
            <w:r>
              <w:rPr>
                <w:rFonts w:ascii="Times New Roman" w:hAnsi="Times New Roman"/>
                <w:sz w:val="20"/>
              </w:rPr>
              <w:t>0 atenciones</w:t>
            </w:r>
          </w:p>
        </w:tc>
        <w:tc>
          <w:tcPr>
            <w:tcW w:type="dxa" w:w="1417"/>
          </w:tcPr>
          <w:p>
            <w:r/>
            <w:r>
              <w:rPr>
                <w:rFonts w:ascii="Times New Roman" w:hAnsi="Times New Roman"/>
                <w:sz w:val="20"/>
              </w:rPr>
              <w:t>600 atenciones por ano</w:t>
            </w:r>
          </w:p>
        </w:tc>
        <w:tc>
          <w:tcPr>
            <w:tcW w:type="dxa" w:w="1984"/>
          </w:tcPr>
          <w:p>
            <w:r/>
            <w:r>
              <w:rPr>
                <w:rFonts w:ascii="Times New Roman" w:hAnsi="Times New Roman"/>
                <w:sz w:val="20"/>
              </w:rPr>
              <w:t>Registros del dispensario medico, historiales clinicos</w:t>
            </w:r>
          </w:p>
        </w:tc>
      </w:tr>
      <w:tr>
        <w:tc>
          <w:tcPr>
            <w:tcW w:type="dxa" w:w="1984"/>
          </w:tcPr>
          <w:p>
            <w:r/>
            <w:r>
              <w:rPr>
                <w:rFonts w:ascii="Times New Roman" w:hAnsi="Times New Roman"/>
                <w:b/>
                <w:sz w:val="20"/>
              </w:rPr>
              <w:t>C4: ALIANZAS</w:t>
              <w:br/>
              <w:t>Ecosistema institucional de soporte consolidado</w:t>
            </w:r>
          </w:p>
        </w:tc>
        <w:tc>
          <w:tcPr>
            <w:tcW w:type="dxa" w:w="1984"/>
          </w:tcPr>
          <w:p>
            <w:r/>
            <w:r>
              <w:rPr>
                <w:rFonts w:ascii="Times New Roman" w:hAnsi="Times New Roman"/>
                <w:sz w:val="20"/>
              </w:rPr>
              <w:t>Numero de convenios interinstitucionales activos y con informe de cumplimiento anual</w:t>
            </w:r>
          </w:p>
        </w:tc>
        <w:tc>
          <w:tcPr>
            <w:tcW w:type="dxa" w:w="1417"/>
          </w:tcPr>
          <w:p>
            <w:r/>
            <w:r>
              <w:rPr>
                <w:rFonts w:ascii="Times New Roman" w:hAnsi="Times New Roman"/>
                <w:sz w:val="20"/>
              </w:rPr>
              <w:t>0 convenios</w:t>
            </w:r>
          </w:p>
        </w:tc>
        <w:tc>
          <w:tcPr>
            <w:tcW w:type="dxa" w:w="1417"/>
          </w:tcPr>
          <w:p>
            <w:r/>
            <w:r>
              <w:rPr>
                <w:rFonts w:ascii="Times New Roman" w:hAnsi="Times New Roman"/>
                <w:sz w:val="20"/>
              </w:rPr>
              <w:t>4+ convenios activos al final del Ano 1</w:t>
            </w:r>
          </w:p>
        </w:tc>
        <w:tc>
          <w:tcPr>
            <w:tcW w:type="dxa" w:w="1984"/>
          </w:tcPr>
          <w:p>
            <w:r/>
            <w:r>
              <w:rPr>
                <w:rFonts w:ascii="Times New Roman" w:hAnsi="Times New Roman"/>
                <w:sz w:val="20"/>
              </w:rPr>
              <w:t>Convenios firmados, actas de comite tecnico</w:t>
            </w:r>
          </w:p>
        </w:tc>
      </w:tr>
    </w:tbl>
    <w:p>
      <w:r>
        <w:rPr>
          <w:rFonts w:ascii="Times New Roman" w:hAnsi="Times New Roman"/>
          <w:b w:val="0"/>
          <w:i w:val="0"/>
          <w:sz w:val="8"/>
        </w:rPr>
      </w:r>
    </w:p>
    <w:p>
      <w:r>
        <w:rPr>
          <w:rFonts w:ascii="Times New Roman" w:hAnsi="Times New Roman"/>
          <w:b w:val="0"/>
          <w:i/>
          <w:sz w:val="20"/>
        </w:rPr>
        <w:t>Nota: Todos los indicadores se presentan desagregados por sexo y grupo etario. La linea base se establecera formalmente mediante la evaluacion de linea base contratada durante el primer ano del proyecto, con metodologia de muestra representativa y grupo de comparacion.</w:t>
      </w:r>
    </w:p>
    <w:p>
      <w:r>
        <w:br w:type="page"/>
      </w:r>
    </w:p>
    <w:p>
      <w:pPr>
        <w:pStyle w:val="Heading1"/>
      </w:pPr>
      <w:r>
        <w:rPr>
          <w:rFonts w:ascii="Times New Roman" w:hAnsi="Times New Roman"/>
        </w:rPr>
        <w:t>6. COMPONENTES DEL PROYECTO</w:t>
      </w:r>
    </w:p>
    <w:p>
      <w:pPr>
        <w:jc w:val="both"/>
      </w:pPr>
      <w:r>
        <w:rPr>
          <w:rFonts w:ascii="Times New Roman" w:hAnsi="Times New Roman"/>
          <w:b w:val="0"/>
          <w:i w:val="0"/>
          <w:sz w:val="24"/>
        </w:rPr>
        <w:t>El proyecto se estructura en cuatro componentes interrelacionados que operan de manera integrada para abordar las causas multiples de la exclusion economica de las madres solteras. Cada componente responde a una causa especifica identificada en el arbol de problemas (Seccion 2.4):</w:t>
      </w:r>
    </w:p>
    <w:p>
      <w:pPr>
        <w:pStyle w:val="Heading2"/>
      </w:pPr>
      <w:r>
        <w:rPr>
          <w:rFonts w:ascii="Times New Roman" w:hAnsi="Times New Roman"/>
        </w:rPr>
        <w:t>6.1 Componente 1: Formacion Tecnica Integral (35% del presupuesto)</w:t>
      </w:r>
    </w:p>
    <w:p>
      <w:pPr>
        <w:jc w:val="both"/>
      </w:pPr>
      <w:r>
        <w:rPr>
          <w:rFonts w:ascii="Times New Roman" w:hAnsi="Times New Roman"/>
          <w:b w:val="0"/>
          <w:i w:val="0"/>
          <w:sz w:val="24"/>
        </w:rPr>
        <w:t>Este componente constituye el nucleo del proyecto y responde directamente a la Causa 1 (oferta insuficiente de formacion tecnica vinculada al mercado laboral). Disenado en coordinacion con INFOTEP, ofrece capacitacion tecnica en cinco disciplinas con currículo estandarizado, instructores certificados, material didactico y materia prima incluida.</w:t>
      </w:r>
    </w:p>
    <w:p>
      <w:r>
        <w:rPr>
          <w:rFonts w:ascii="Times New Roman" w:hAnsi="Times New Roman"/>
          <w:b/>
          <w:i w:val="0"/>
          <w:sz w:val="24"/>
        </w:rPr>
        <w:t>Disciplinas ofrecidas:</w:t>
      </w:r>
    </w:p>
    <w:p>
      <w:pPr>
        <w:pStyle w:val="ListBullet"/>
        <w:spacing w:line="360" w:lineRule="auto"/>
        <w:ind w:left="720"/>
      </w:pPr>
      <w:r>
        <w:rPr>
          <w:rFonts w:ascii="Times New Roman" w:hAnsi="Times New Roman"/>
          <w:sz w:val="24"/>
        </w:rPr>
        <w:t>Estetica Integral (3-4 meses): Peluqueria, manicura, pedicura, maquillaje profesional, barberia, tratamientos capilares. Equipamiento: sillones esteticos, secadores, esterilizadores, productos profesionales.</w:t>
      </w:r>
    </w:p>
    <w:p>
      <w:pPr>
        <w:pStyle w:val="ListBullet"/>
        <w:spacing w:line="360" w:lineRule="auto"/>
        <w:ind w:left="720"/>
      </w:pPr>
      <w:r>
        <w:rPr>
          <w:rFonts w:ascii="Times New Roman" w:hAnsi="Times New Roman"/>
          <w:sz w:val="24"/>
        </w:rPr>
        <w:t>Gastronomia (4-6 meses): Reposteria basica y avanzada, cocina tradicional y fusion, panaderia artesanal, catering para eventos. Equipamiento: hornos industriales, batidoras, utensilios, refrigeracion.</w:t>
      </w:r>
    </w:p>
    <w:p>
      <w:pPr>
        <w:pStyle w:val="ListBullet"/>
        <w:spacing w:line="360" w:lineRule="auto"/>
        <w:ind w:left="720"/>
      </w:pPr>
      <w:r>
        <w:rPr>
          <w:rFonts w:ascii="Times New Roman" w:hAnsi="Times New Roman"/>
          <w:sz w:val="24"/>
        </w:rPr>
        <w:t>Textil y Confeccion (4-6 meses): Costura basica e industrial, bordado artesanal y digital, sastreria, confeccion en serie, patronaje, upcycling textil. Equipamiento: maquinas de coser industriales, overlook, bordadoras.</w:t>
      </w:r>
    </w:p>
    <w:p>
      <w:pPr>
        <w:pStyle w:val="ListBullet"/>
        <w:spacing w:line="360" w:lineRule="auto"/>
        <w:ind w:left="720"/>
      </w:pPr>
      <w:r>
        <w:rPr>
          <w:rFonts w:ascii="Times New Roman" w:hAnsi="Times New Roman"/>
          <w:sz w:val="24"/>
        </w:rPr>
        <w:t>Tecnologia y Marketing Digital (3-6 meses): Computacion basica, diseño grafico (Canva, Photoshop basico), redes sociales para negocios, asistentes virtuales, comercio electronico. Equipamiento: computadoras, software educativo.</w:t>
      </w:r>
    </w:p>
    <w:p>
      <w:pPr>
        <w:pStyle w:val="ListBullet"/>
        <w:spacing w:line="360" w:lineRule="auto"/>
        <w:ind w:left="720"/>
      </w:pPr>
      <w:r>
        <w:rPr>
          <w:rFonts w:ascii="Times New Roman" w:hAnsi="Times New Roman"/>
          <w:sz w:val="24"/>
        </w:rPr>
        <w:t>Manualidades y Reciclaje Creativo (2-3 meses): Bisuteria artesanal, velas aromaticas, jabones artesanales, reciclaje textil, decoracion de interiores eco-friendly. Equipamiento: materiales e insumos por modulo.</w:t>
      </w:r>
    </w:p>
    <w:p>
      <w:r>
        <w:rPr>
          <w:rFonts w:ascii="Times New Roman" w:hAnsi="Times New Roman"/>
          <w:b/>
          <w:i w:val="0"/>
          <w:sz w:val="24"/>
        </w:rPr>
        <w:t>Modulo Transversal Empresarial (comun a todas las disciplinas):</w:t>
      </w:r>
    </w:p>
    <w:p>
      <w:pPr>
        <w:pStyle w:val="ListBullet"/>
        <w:spacing w:line="360" w:lineRule="auto"/>
        <w:ind w:left="720"/>
      </w:pPr>
      <w:r>
        <w:rPr>
          <w:rFonts w:ascii="Times New Roman" w:hAnsi="Times New Roman"/>
          <w:sz w:val="24"/>
        </w:rPr>
        <w:t>Educacion financiera y contabilidad basica para emprendedoras</w:t>
      </w:r>
    </w:p>
    <w:p>
      <w:pPr>
        <w:pStyle w:val="ListBullet"/>
        <w:spacing w:line="360" w:lineRule="auto"/>
        <w:ind w:left="720"/>
      </w:pPr>
      <w:r>
        <w:rPr>
          <w:rFonts w:ascii="Times New Roman" w:hAnsi="Times New Roman"/>
          <w:sz w:val="24"/>
        </w:rPr>
        <w:t>Formulacion de planes de negocio</w:t>
      </w:r>
    </w:p>
    <w:p>
      <w:pPr>
        <w:pStyle w:val="ListBullet"/>
        <w:spacing w:line="360" w:lineRule="auto"/>
        <w:ind w:left="720"/>
      </w:pPr>
      <w:r>
        <w:rPr>
          <w:rFonts w:ascii="Times New Roman" w:hAnsi="Times New Roman"/>
          <w:sz w:val="24"/>
        </w:rPr>
        <w:t>Marketing digital y ventas</w:t>
      </w:r>
    </w:p>
    <w:p>
      <w:pPr>
        <w:pStyle w:val="ListBullet"/>
        <w:spacing w:line="360" w:lineRule="auto"/>
        <w:ind w:left="720"/>
      </w:pPr>
      <w:r>
        <w:rPr>
          <w:rFonts w:ascii="Times New Roman" w:hAnsi="Times New Roman"/>
          <w:sz w:val="24"/>
        </w:rPr>
        <w:t>Habilidades blandas, autoestima, liderazgo y comunicacion efectiva</w:t>
      </w:r>
    </w:p>
    <w:p>
      <w:pPr>
        <w:pStyle w:val="ListBullet"/>
        <w:spacing w:line="360" w:lineRule="auto"/>
        <w:ind w:left="720"/>
      </w:pPr>
      <w:r>
        <w:rPr>
          <w:rFonts w:ascii="Times New Roman" w:hAnsi="Times New Roman"/>
          <w:sz w:val="24"/>
        </w:rPr>
        <w:t>Derechos laborales, derechos de genero y prevencion de violencia</w:t>
      </w:r>
    </w:p>
    <w:p>
      <w:pPr>
        <w:pStyle w:val="ListBullet"/>
        <w:spacing w:line="360" w:lineRule="auto"/>
        <w:ind w:left="720"/>
      </w:pPr>
      <w:r>
        <w:rPr>
          <w:rFonts w:ascii="Times New Roman" w:hAnsi="Times New Roman"/>
          <w:sz w:val="24"/>
        </w:rPr>
        <w:t>Formalizacion empresarial: RNC, registro mercantil, regimen tributario simplificado</w:t>
      </w:r>
    </w:p>
    <w:p>
      <w:r>
        <w:rPr>
          <w:rFonts w:ascii="Times New Roman" w:hAnsi="Times New Roman"/>
          <w:b/>
          <w:i w:val="0"/>
          <w:sz w:val="24"/>
        </w:rPr>
        <w:t>Certificacion:</w:t>
      </w:r>
    </w:p>
    <w:p>
      <w:pPr>
        <w:jc w:val="both"/>
      </w:pPr>
      <w:r>
        <w:rPr>
          <w:rFonts w:ascii="Times New Roman" w:hAnsi="Times New Roman"/>
          <w:b w:val="0"/>
          <w:i w:val="0"/>
          <w:sz w:val="24"/>
        </w:rPr>
        <w:t>Todas las disciplinas cuentan con certificacion oficial de INFOTEP, lo que garantiza la portabilidad nacional y el reconocimiento del sector empresarial. Adicionalmente, se gestionara la certificacion complementaria del Ministerio de Educacion (MESCYT) para los modulos tecnologicos.</w:t>
      </w:r>
    </w:p>
    <w:p>
      <w:pPr>
        <w:pStyle w:val="Heading2"/>
      </w:pPr>
      <w:r>
        <w:rPr>
          <w:rFonts w:ascii="Times New Roman" w:hAnsi="Times New Roman"/>
        </w:rPr>
        <w:t>6.2 Componente 2: Capital Semilla y Acompanamiento Empresarial (25% del presupuesto)</w:t>
      </w:r>
    </w:p>
    <w:p>
      <w:pPr>
        <w:jc w:val="both"/>
      </w:pPr>
      <w:r>
        <w:rPr>
          <w:rFonts w:ascii="Times New Roman" w:hAnsi="Times New Roman"/>
          <w:b w:val="0"/>
          <w:i w:val="0"/>
          <w:sz w:val="24"/>
        </w:rPr>
        <w:t>Este componente responde a la Causa 3 (exclusion financiera) y constituye el puente entre la formacion tecnica y la generacion efectiva de ingresos. Disenado con base en las mejores practicas de microfinanzas e inclusion productiva documentadas por el BID y ONU Mujeres.</w:t>
      </w:r>
    </w:p>
    <w:p>
      <w:r>
        <w:rPr>
          <w:rFonts w:ascii="Times New Roman" w:hAnsi="Times New Roman"/>
          <w:b/>
          <w:i w:val="0"/>
          <w:sz w:val="24"/>
        </w:rPr>
        <w:t>Mecanismo de Asignacion:</w:t>
      </w:r>
    </w:p>
    <w:p>
      <w:pPr>
        <w:pStyle w:val="ListBullet"/>
        <w:spacing w:line="360" w:lineRule="auto"/>
        <w:ind w:left="720"/>
      </w:pPr>
      <w:r>
        <w:rPr>
          <w:rFonts w:ascii="Times New Roman" w:hAnsi="Times New Roman"/>
          <w:sz w:val="24"/>
        </w:rPr>
        <w:t>Las madres que completen satisfactoriamente la formacion tecnica (80% de asistencia y evaluacion final aprobada) presentan un plan de negocio ante un comite de evaluacion</w:t>
      </w:r>
    </w:p>
    <w:p>
      <w:pPr>
        <w:pStyle w:val="ListBullet"/>
        <w:spacing w:line="360" w:lineRule="auto"/>
        <w:ind w:left="720"/>
      </w:pPr>
      <w:r>
        <w:rPr>
          <w:rFonts w:ascii="Times New Roman" w:hAnsi="Times New Roman"/>
          <w:sz w:val="24"/>
        </w:rPr>
        <w:t>El comite, integrado por representantes del centro, INFOTEP, MICM y una entidad financiera aliada (Banca Solidaria), evalua la viabilidad tecnica, economica y comercial del plan</w:t>
      </w:r>
    </w:p>
    <w:p>
      <w:pPr>
        <w:pStyle w:val="ListBullet"/>
        <w:spacing w:line="360" w:lineRule="auto"/>
        <w:ind w:left="720"/>
      </w:pPr>
      <w:r>
        <w:rPr>
          <w:rFonts w:ascii="Times New Roman" w:hAnsi="Times New Roman"/>
          <w:sz w:val="24"/>
        </w:rPr>
        <w:t>Los planes aprobados reciben capital semilla en una modalidad mixta: 70% en especie (equipos, herramientas, maquinaria e insumos especificos segun la disciplina) y 30% en efectivo (capital de trabajo para los primeros 3 meses de operacion)</w:t>
      </w:r>
    </w:p>
    <w:p>
      <w:r>
        <w:rPr>
          <w:rFonts w:ascii="Times New Roman" w:hAnsi="Times New Roman"/>
          <w:b/>
          <w:i w:val="0"/>
          <w:sz w:val="24"/>
        </w:rPr>
        <w:t>Montos Referenciales por Disciplina:</w:t>
      </w:r>
    </w:p>
    <w:tbl>
      <w:tblPr>
        <w:tblStyle w:val="TableGrid"/>
        <w:tblW w:type="auto" w:w="0"/>
        <w:jc w:val="center"/>
        <w:tblLook w:firstColumn="1" w:firstRow="1" w:lastColumn="0" w:lastRow="0" w:noHBand="0" w:noVBand="1" w:val="04A0"/>
      </w:tblPr>
      <w:tblGrid>
        <w:gridCol w:w="2999"/>
        <w:gridCol w:w="2999"/>
        <w:gridCol w:w="2999"/>
      </w:tblGrid>
      <w:tr>
        <w:tc>
          <w:tcPr>
            <w:tcW w:type="dxa" w:w="2268"/>
            <w:shd w:fill="003366" w:val="clear"/>
          </w:tcPr>
          <w:p>
            <w:pPr>
              <w:jc w:val="center"/>
            </w:pPr>
            <w:r/>
            <w:r>
              <w:rPr>
                <w:rFonts w:ascii="Times New Roman" w:hAnsi="Times New Roman"/>
                <w:b/>
                <w:color w:val="FFFFFF"/>
                <w:sz w:val="20"/>
              </w:rPr>
              <w:t>Disciplina</w:t>
            </w:r>
          </w:p>
        </w:tc>
        <w:tc>
          <w:tcPr>
            <w:tcW w:type="dxa" w:w="2268"/>
            <w:shd w:fill="003366" w:val="clear"/>
          </w:tcPr>
          <w:p>
            <w:pPr>
              <w:jc w:val="center"/>
            </w:pPr>
            <w:r/>
            <w:r>
              <w:rPr>
                <w:rFonts w:ascii="Times New Roman" w:hAnsi="Times New Roman"/>
                <w:b/>
                <w:color w:val="FFFFFF"/>
                <w:sz w:val="20"/>
              </w:rPr>
              <w:t>Rango Capital Semilla</w:t>
            </w:r>
          </w:p>
        </w:tc>
        <w:tc>
          <w:tcPr>
            <w:tcW w:type="dxa" w:w="4535"/>
            <w:shd w:fill="003366" w:val="clear"/>
          </w:tcPr>
          <w:p>
            <w:pPr>
              <w:jc w:val="center"/>
            </w:pPr>
            <w:r/>
            <w:r>
              <w:rPr>
                <w:rFonts w:ascii="Times New Roman" w:hAnsi="Times New Roman"/>
                <w:b/>
                <w:color w:val="FFFFFF"/>
                <w:sz w:val="20"/>
              </w:rPr>
              <w:t>Composicion Tipica del Kit</w:t>
            </w:r>
          </w:p>
        </w:tc>
      </w:tr>
      <w:tr>
        <w:tc>
          <w:tcPr>
            <w:tcW w:type="dxa" w:w="2268"/>
          </w:tcPr>
          <w:p>
            <w:r/>
            <w:r>
              <w:rPr>
                <w:rFonts w:ascii="Times New Roman" w:hAnsi="Times New Roman"/>
                <w:b/>
                <w:sz w:val="20"/>
              </w:rPr>
              <w:t>Estetica Integral</w:t>
            </w:r>
          </w:p>
        </w:tc>
        <w:tc>
          <w:tcPr>
            <w:tcW w:type="dxa" w:w="2268"/>
          </w:tcPr>
          <w:p>
            <w:r/>
            <w:r>
              <w:rPr>
                <w:rFonts w:ascii="Times New Roman" w:hAnsi="Times New Roman"/>
                <w:sz w:val="20"/>
              </w:rPr>
              <w:t>RD$ 35,000 - 50,000</w:t>
            </w:r>
          </w:p>
        </w:tc>
        <w:tc>
          <w:tcPr>
            <w:tcW w:type="dxa" w:w="4535"/>
          </w:tcPr>
          <w:p>
            <w:r/>
            <w:r>
              <w:rPr>
                <w:rFonts w:ascii="Times New Roman" w:hAnsi="Times New Roman"/>
                <w:sz w:val="20"/>
              </w:rPr>
              <w:t>Sillon estetico, secador, productos, uniformes</w:t>
            </w:r>
          </w:p>
        </w:tc>
      </w:tr>
      <w:tr>
        <w:tc>
          <w:tcPr>
            <w:tcW w:type="dxa" w:w="2268"/>
          </w:tcPr>
          <w:p>
            <w:r/>
            <w:r>
              <w:rPr>
                <w:rFonts w:ascii="Times New Roman" w:hAnsi="Times New Roman"/>
                <w:b/>
                <w:sz w:val="20"/>
              </w:rPr>
              <w:t>Gastronomia</w:t>
            </w:r>
          </w:p>
        </w:tc>
        <w:tc>
          <w:tcPr>
            <w:tcW w:type="dxa" w:w="2268"/>
          </w:tcPr>
          <w:p>
            <w:r/>
            <w:r>
              <w:rPr>
                <w:rFonts w:ascii="Times New Roman" w:hAnsi="Times New Roman"/>
                <w:sz w:val="20"/>
              </w:rPr>
              <w:t>RD$ 40,000 - 65,000</w:t>
            </w:r>
          </w:p>
        </w:tc>
        <w:tc>
          <w:tcPr>
            <w:tcW w:type="dxa" w:w="4535"/>
          </w:tcPr>
          <w:p>
            <w:r/>
            <w:r>
              <w:rPr>
                <w:rFonts w:ascii="Times New Roman" w:hAnsi="Times New Roman"/>
                <w:sz w:val="20"/>
              </w:rPr>
              <w:t>Horno, batidora, utensilios, materia prima inicial</w:t>
            </w:r>
          </w:p>
        </w:tc>
      </w:tr>
      <w:tr>
        <w:tc>
          <w:tcPr>
            <w:tcW w:type="dxa" w:w="2268"/>
          </w:tcPr>
          <w:p>
            <w:r/>
            <w:r>
              <w:rPr>
                <w:rFonts w:ascii="Times New Roman" w:hAnsi="Times New Roman"/>
                <w:b/>
                <w:sz w:val="20"/>
              </w:rPr>
              <w:t>Textil y Confeccion</w:t>
            </w:r>
          </w:p>
        </w:tc>
        <w:tc>
          <w:tcPr>
            <w:tcW w:type="dxa" w:w="2268"/>
          </w:tcPr>
          <w:p>
            <w:r/>
            <w:r>
              <w:rPr>
                <w:rFonts w:ascii="Times New Roman" w:hAnsi="Times New Roman"/>
                <w:sz w:val="20"/>
              </w:rPr>
              <w:t>RD$ 45,000 - 65,000</w:t>
            </w:r>
          </w:p>
        </w:tc>
        <w:tc>
          <w:tcPr>
            <w:tcW w:type="dxa" w:w="4535"/>
          </w:tcPr>
          <w:p>
            <w:r/>
            <w:r>
              <w:rPr>
                <w:rFonts w:ascii="Times New Roman" w:hAnsi="Times New Roman"/>
                <w:sz w:val="20"/>
              </w:rPr>
              <w:t>Maquina coser, overlook, telas iniciales, merceria</w:t>
            </w:r>
          </w:p>
        </w:tc>
      </w:tr>
      <w:tr>
        <w:tc>
          <w:tcPr>
            <w:tcW w:type="dxa" w:w="2268"/>
          </w:tcPr>
          <w:p>
            <w:r/>
            <w:r>
              <w:rPr>
                <w:rFonts w:ascii="Times New Roman" w:hAnsi="Times New Roman"/>
                <w:b/>
                <w:sz w:val="20"/>
              </w:rPr>
              <w:t>Tecnologia y Marketing Digital</w:t>
            </w:r>
          </w:p>
        </w:tc>
        <w:tc>
          <w:tcPr>
            <w:tcW w:type="dxa" w:w="2268"/>
          </w:tcPr>
          <w:p>
            <w:r/>
            <w:r>
              <w:rPr>
                <w:rFonts w:ascii="Times New Roman" w:hAnsi="Times New Roman"/>
                <w:sz w:val="20"/>
              </w:rPr>
              <w:t>RD$ 30,000 - 50,000</w:t>
            </w:r>
          </w:p>
        </w:tc>
        <w:tc>
          <w:tcPr>
            <w:tcW w:type="dxa" w:w="4535"/>
          </w:tcPr>
          <w:p>
            <w:r/>
            <w:r>
              <w:rPr>
                <w:rFonts w:ascii="Times New Roman" w:hAnsi="Times New Roman"/>
                <w:sz w:val="20"/>
              </w:rPr>
              <w:t>Laptop, software, dominio web, campana inicial</w:t>
            </w:r>
          </w:p>
        </w:tc>
      </w:tr>
      <w:tr>
        <w:tc>
          <w:tcPr>
            <w:tcW w:type="dxa" w:w="2268"/>
          </w:tcPr>
          <w:p>
            <w:r/>
            <w:r>
              <w:rPr>
                <w:rFonts w:ascii="Times New Roman" w:hAnsi="Times New Roman"/>
                <w:b/>
                <w:sz w:val="20"/>
              </w:rPr>
              <w:t>Manualidades</w:t>
            </w:r>
          </w:p>
        </w:tc>
        <w:tc>
          <w:tcPr>
            <w:tcW w:type="dxa" w:w="2268"/>
          </w:tcPr>
          <w:p>
            <w:r/>
            <w:r>
              <w:rPr>
                <w:rFonts w:ascii="Times New Roman" w:hAnsi="Times New Roman"/>
                <w:sz w:val="20"/>
              </w:rPr>
              <w:t>RD$ 15,000 - 30,000</w:t>
            </w:r>
          </w:p>
        </w:tc>
        <w:tc>
          <w:tcPr>
            <w:tcW w:type="dxa" w:w="4535"/>
          </w:tcPr>
          <w:p>
            <w:r/>
            <w:r>
              <w:rPr>
                <w:rFonts w:ascii="Times New Roman" w:hAnsi="Times New Roman"/>
                <w:sz w:val="20"/>
              </w:rPr>
              <w:t>Materiales, herramientas, empaque, branding</w:t>
            </w:r>
          </w:p>
        </w:tc>
      </w:tr>
    </w:tbl>
    <w:p>
      <w:r>
        <w:rPr>
          <w:rFonts w:ascii="Times New Roman" w:hAnsi="Times New Roman"/>
          <w:b w:val="0"/>
          <w:i w:val="0"/>
          <w:sz w:val="8"/>
        </w:rPr>
      </w:r>
    </w:p>
    <w:p>
      <w:r>
        <w:rPr>
          <w:rFonts w:ascii="Times New Roman" w:hAnsi="Times New Roman"/>
          <w:b/>
          <w:i w:val="0"/>
          <w:sz w:val="24"/>
        </w:rPr>
        <w:t>Acompanamiento Post-Graduacion:</w:t>
      </w:r>
    </w:p>
    <w:p>
      <w:pPr>
        <w:pStyle w:val="ListBullet"/>
        <w:spacing w:line="360" w:lineRule="auto"/>
        <w:ind w:left="720"/>
      </w:pPr>
      <w:r>
        <w:rPr>
          <w:rFonts w:ascii="Times New Roman" w:hAnsi="Times New Roman"/>
          <w:sz w:val="24"/>
        </w:rPr>
        <w:t>Tutorias empresariales personalizadas durante 6 meses posteriores a la entrega del capital semilla</w:t>
      </w:r>
    </w:p>
    <w:p>
      <w:pPr>
        <w:pStyle w:val="ListBullet"/>
        <w:spacing w:line="360" w:lineRule="auto"/>
        <w:ind w:left="720"/>
      </w:pPr>
      <w:r>
        <w:rPr>
          <w:rFonts w:ascii="Times New Roman" w:hAnsi="Times New Roman"/>
          <w:sz w:val="24"/>
        </w:rPr>
        <w:t>Visitas de seguimiento quincenales al lugar del emprendimiento</w:t>
      </w:r>
    </w:p>
    <w:p>
      <w:pPr>
        <w:pStyle w:val="ListBullet"/>
        <w:spacing w:line="360" w:lineRule="auto"/>
        <w:ind w:left="720"/>
      </w:pPr>
      <w:r>
        <w:rPr>
          <w:rFonts w:ascii="Times New Roman" w:hAnsi="Times New Roman"/>
          <w:sz w:val="24"/>
        </w:rPr>
        <w:t>Grupos de apoyo entre pares y red de mentoras (egresadas de ciclos anteriores como mentoras)</w:t>
      </w:r>
    </w:p>
    <w:p>
      <w:pPr>
        <w:pStyle w:val="ListBullet"/>
        <w:spacing w:line="360" w:lineRule="auto"/>
        <w:ind w:left="720"/>
      </w:pPr>
      <w:r>
        <w:rPr>
          <w:rFonts w:ascii="Times New Roman" w:hAnsi="Times New Roman"/>
          <w:sz w:val="24"/>
        </w:rPr>
        <w:t>Vinculacion con Banca Solidaria, PROMIPYME, cooperativas de ahorro y credito para acceso a financiamiento complementario</w:t>
      </w:r>
    </w:p>
    <w:p>
      <w:pPr>
        <w:pStyle w:val="ListBullet"/>
        <w:spacing w:line="360" w:lineRule="auto"/>
        <w:ind w:left="720"/>
      </w:pPr>
      <w:r>
        <w:rPr>
          <w:rFonts w:ascii="Times New Roman" w:hAnsi="Times New Roman"/>
          <w:sz w:val="24"/>
        </w:rPr>
        <w:t>Participacion en ferias de emprendimiento y ruedas de negocio organizadas por el MICM</w:t>
      </w:r>
    </w:p>
    <w:p>
      <w:pPr>
        <w:pStyle w:val="Heading2"/>
      </w:pPr>
      <w:r>
        <w:rPr>
          <w:rFonts w:ascii="Times New Roman" w:hAnsi="Times New Roman"/>
        </w:rPr>
        <w:t>6.3 Componente 3: Servicios Integrales (25% del presupuesto)</w:t>
      </w:r>
    </w:p>
    <w:p>
      <w:pPr>
        <w:jc w:val="both"/>
      </w:pPr>
      <w:r>
        <w:rPr>
          <w:rFonts w:ascii="Times New Roman" w:hAnsi="Times New Roman"/>
          <w:b w:val="0"/>
          <w:i w:val="0"/>
          <w:sz w:val="24"/>
        </w:rPr>
        <w:t>Este componente aborda simultaneamente las Causas 2 (ausencia de cuidado infantil) y 5 (barreras de acceso a salud), eliminando las principales barreras de tiempo, cuidado y salud que impiden a las madres participar en la formacion y generar ingresos.</w:t>
      </w:r>
    </w:p>
    <w:p>
      <w:r>
        <w:rPr>
          <w:rFonts w:ascii="Times New Roman" w:hAnsi="Times New Roman"/>
          <w:b/>
          <w:i w:val="0"/>
          <w:color w:val="003366"/>
          <w:sz w:val="24"/>
        </w:rPr>
        <w:t>Subcomponente 3.1: Guarderia Infantil (0-10 anos)</w:t>
      </w:r>
    </w:p>
    <w:p>
      <w:pPr>
        <w:jc w:val="both"/>
      </w:pPr>
      <w:r>
        <w:rPr>
          <w:rFonts w:ascii="Times New Roman" w:hAnsi="Times New Roman"/>
          <w:b w:val="0"/>
          <w:i w:val="0"/>
          <w:sz w:val="24"/>
        </w:rPr>
        <w:t>La guarderia del centro esta disenada para atender a los hijos de las madres participantes durante el horario de formacion (8:00 AM a 4:00 PM, de lunes a viernes), eliminando la principal barrera de participacion documentada en la literatura y en los diagnosticos de genero del Banco Mundial (2024).</w:t>
      </w:r>
    </w:p>
    <w:p>
      <w:r>
        <w:rPr>
          <w:rFonts w:ascii="Times New Roman" w:hAnsi="Times New Roman"/>
          <w:b/>
          <w:i w:val="0"/>
          <w:sz w:val="22"/>
        </w:rPr>
        <w:t>Area Ludoteca (0-5 anos):</w:t>
      </w:r>
    </w:p>
    <w:p>
      <w:pPr>
        <w:pStyle w:val="ListBullet"/>
        <w:spacing w:line="360" w:lineRule="auto"/>
        <w:ind w:left="720"/>
      </w:pPr>
      <w:r>
        <w:rPr>
          <w:rFonts w:ascii="Times New Roman" w:hAnsi="Times New Roman"/>
          <w:sz w:val="24"/>
        </w:rPr>
        <w:t>Estimulacion temprana con personal especializado en educacion inicial</w:t>
      </w:r>
    </w:p>
    <w:p>
      <w:pPr>
        <w:pStyle w:val="ListBullet"/>
        <w:spacing w:line="360" w:lineRule="auto"/>
        <w:ind w:left="720"/>
      </w:pPr>
      <w:r>
        <w:rPr>
          <w:rFonts w:ascii="Times New Roman" w:hAnsi="Times New Roman"/>
          <w:sz w:val="24"/>
        </w:rPr>
        <w:t>Alimentacion balanceada: desayuno, almuerzo y merienda (coordinado con el programa de alimentacion escolar del INABIE)</w:t>
      </w:r>
    </w:p>
    <w:p>
      <w:pPr>
        <w:pStyle w:val="ListBullet"/>
        <w:spacing w:line="360" w:lineRule="auto"/>
        <w:ind w:left="720"/>
      </w:pPr>
      <w:r>
        <w:rPr>
          <w:rFonts w:ascii="Times New Roman" w:hAnsi="Times New Roman"/>
          <w:sz w:val="24"/>
        </w:rPr>
        <w:t>Siesta, juego libre, actividades sensoriales y motrices</w:t>
      </w:r>
    </w:p>
    <w:p>
      <w:pPr>
        <w:pStyle w:val="ListBullet"/>
        <w:spacing w:line="360" w:lineRule="auto"/>
        <w:ind w:left="720"/>
      </w:pPr>
      <w:r>
        <w:rPr>
          <w:rFonts w:ascii="Times New Roman" w:hAnsi="Times New Roman"/>
          <w:sz w:val="24"/>
        </w:rPr>
        <w:t>Ratio educadora/nino: 1:5 (superior al estandar minimo de 1:8 establecido por el Ministerio de Educacion)</w:t>
      </w:r>
    </w:p>
    <w:p>
      <w:pPr>
        <w:pStyle w:val="ListBullet"/>
        <w:spacing w:line="360" w:lineRule="auto"/>
        <w:ind w:left="720"/>
      </w:pPr>
      <w:r>
        <w:rPr>
          <w:rFonts w:ascii="Times New Roman" w:hAnsi="Times New Roman"/>
          <w:sz w:val="24"/>
        </w:rPr>
        <w:t>Capacidad: 80-100 ninos por turno (doble turno para cubrir la demanda)</w:t>
      </w:r>
    </w:p>
    <w:p>
      <w:r>
        <w:rPr>
          <w:rFonts w:ascii="Times New Roman" w:hAnsi="Times New Roman"/>
          <w:b/>
          <w:i w:val="0"/>
          <w:sz w:val="22"/>
        </w:rPr>
        <w:t>Area de Tareas Dirigidas (6-10 anos):</w:t>
      </w:r>
    </w:p>
    <w:p>
      <w:pPr>
        <w:pStyle w:val="ListBullet"/>
        <w:spacing w:line="360" w:lineRule="auto"/>
        <w:ind w:left="720"/>
      </w:pPr>
      <w:r>
        <w:rPr>
          <w:rFonts w:ascii="Times New Roman" w:hAnsi="Times New Roman"/>
          <w:sz w:val="24"/>
        </w:rPr>
        <w:t>Apoyo escolar y acompanamiento de tareas supervisado por docentes de educacion basica</w:t>
      </w:r>
    </w:p>
    <w:p>
      <w:pPr>
        <w:pStyle w:val="ListBullet"/>
        <w:spacing w:line="360" w:lineRule="auto"/>
        <w:ind w:left="720"/>
      </w:pPr>
      <w:r>
        <w:rPr>
          <w:rFonts w:ascii="Times New Roman" w:hAnsi="Times New Roman"/>
          <w:sz w:val="24"/>
        </w:rPr>
        <w:t>Actividades artisticas: dibujo, pintura, musica, teatro</w:t>
      </w:r>
    </w:p>
    <w:p>
      <w:pPr>
        <w:pStyle w:val="ListBullet"/>
        <w:spacing w:line="360" w:lineRule="auto"/>
        <w:ind w:left="720"/>
      </w:pPr>
      <w:r>
        <w:rPr>
          <w:rFonts w:ascii="Times New Roman" w:hAnsi="Times New Roman"/>
          <w:sz w:val="24"/>
        </w:rPr>
        <w:t>Actividades deportivas y recreativas supervisadas</w:t>
      </w:r>
    </w:p>
    <w:p>
      <w:pPr>
        <w:pStyle w:val="ListBullet"/>
        <w:spacing w:line="360" w:lineRule="auto"/>
        <w:ind w:left="720"/>
      </w:pPr>
      <w:r>
        <w:rPr>
          <w:rFonts w:ascii="Times New Roman" w:hAnsi="Times New Roman"/>
          <w:sz w:val="24"/>
        </w:rPr>
        <w:t>Taller de valores, convivencia y educacion emocional</w:t>
      </w:r>
    </w:p>
    <w:p>
      <w:pPr>
        <w:pStyle w:val="ListBullet"/>
        <w:spacing w:line="360" w:lineRule="auto"/>
        <w:ind w:left="720"/>
      </w:pPr>
      <w:r>
        <w:rPr>
          <w:rFonts w:ascii="Times New Roman" w:hAnsi="Times New Roman"/>
          <w:sz w:val="24"/>
        </w:rPr>
        <w:t>Capacidad: 80-100 ninos por turno</w:t>
      </w:r>
    </w:p>
    <w:p>
      <w:r>
        <w:rPr>
          <w:rFonts w:ascii="Times New Roman" w:hAnsi="Times New Roman"/>
          <w:b/>
          <w:i w:val="0"/>
          <w:color w:val="003366"/>
          <w:sz w:val="24"/>
        </w:rPr>
        <w:t>Subcomponente 3.2: Dispensario Medico</w:t>
      </w:r>
    </w:p>
    <w:p>
      <w:pPr>
        <w:jc w:val="both"/>
      </w:pPr>
      <w:r>
        <w:rPr>
          <w:rFonts w:ascii="Times New Roman" w:hAnsi="Times New Roman"/>
          <w:b w:val="0"/>
          <w:i w:val="0"/>
          <w:sz w:val="24"/>
        </w:rPr>
        <w:t>El centro cuenta con un dispensario medico equipado para atencion primaria, preventiva y curativa de baja complejidad, eliminando la barrera de acceso a servicios de salud que afecta desproporcionadamente a las madres solteras de bajos ingresos.</w:t>
      </w:r>
    </w:p>
    <w:p>
      <w:pPr>
        <w:pStyle w:val="ListBullet"/>
        <w:spacing w:line="360" w:lineRule="auto"/>
        <w:ind w:left="720"/>
      </w:pPr>
      <w:r>
        <w:rPr>
          <w:rFonts w:ascii="Times New Roman" w:hAnsi="Times New Roman"/>
          <w:sz w:val="24"/>
        </w:rPr>
        <w:t>Medicina general: consultas de atencion primaria, control de enfermedades cronicas no transmisibles</w:t>
      </w:r>
    </w:p>
    <w:p>
      <w:pPr>
        <w:pStyle w:val="ListBullet"/>
        <w:spacing w:line="360" w:lineRule="auto"/>
        <w:ind w:left="720"/>
      </w:pPr>
      <w:r>
        <w:rPr>
          <w:rFonts w:ascii="Times New Roman" w:hAnsi="Times New Roman"/>
          <w:sz w:val="24"/>
        </w:rPr>
        <w:t>Pediatria: control de nino sano, vacunacion (coordinado con el Programa Ampliado de Inmunizaciones), atencion de morbilidad infantil</w:t>
      </w:r>
    </w:p>
    <w:p>
      <w:pPr>
        <w:pStyle w:val="ListBullet"/>
        <w:spacing w:line="360" w:lineRule="auto"/>
        <w:ind w:left="720"/>
      </w:pPr>
      <w:r>
        <w:rPr>
          <w:rFonts w:ascii="Times New Roman" w:hAnsi="Times New Roman"/>
          <w:sz w:val="24"/>
        </w:rPr>
        <w:t>Psicologia: apoyo psicosocial individual y grupal, terapia breve, deteccion de violencia de genero, referenciacion a la Red de Atencion a Victimas</w:t>
      </w:r>
    </w:p>
    <w:p>
      <w:pPr>
        <w:pStyle w:val="ListBullet"/>
        <w:spacing w:line="360" w:lineRule="auto"/>
        <w:ind w:left="720"/>
      </w:pPr>
      <w:r>
        <w:rPr>
          <w:rFonts w:ascii="Times New Roman" w:hAnsi="Times New Roman"/>
          <w:sz w:val="24"/>
        </w:rPr>
        <w:t>Enfermeria: curaciones, administracion de medicamentos, toma de muestras, promocion de salud</w:t>
      </w:r>
    </w:p>
    <w:p>
      <w:pPr>
        <w:pStyle w:val="ListBullet"/>
        <w:spacing w:line="360" w:lineRule="auto"/>
        <w:ind w:left="720"/>
      </w:pPr>
      <w:r>
        <w:rPr>
          <w:rFonts w:ascii="Times New Roman" w:hAnsi="Times New Roman"/>
          <w:sz w:val="24"/>
        </w:rPr>
        <w:t>Farmacia basica: medicamentos esenciales del Cuadro Basico de Medicamentos (Promese/Cal)</w:t>
      </w:r>
    </w:p>
    <w:p>
      <w:pPr>
        <w:pStyle w:val="ListBullet"/>
        <w:spacing w:line="360" w:lineRule="auto"/>
        <w:ind w:left="720"/>
      </w:pPr>
      <w:r>
        <w:rPr>
          <w:rFonts w:ascii="Times New Roman" w:hAnsi="Times New Roman"/>
          <w:sz w:val="24"/>
        </w:rPr>
        <w:t>Referenciacion: sistema de derivacion a la red publica de salud (hospitales provinciales, Centro de Referencia de Salud Materno-Infantil) para atenciones de mayor complejidad</w:t>
      </w:r>
    </w:p>
    <w:p>
      <w:pPr>
        <w:pStyle w:val="ListBullet"/>
        <w:spacing w:line="360" w:lineRule="auto"/>
        <w:ind w:left="720"/>
      </w:pPr>
      <w:r>
        <w:rPr>
          <w:rFonts w:ascii="Times New Roman" w:hAnsi="Times New Roman"/>
          <w:sz w:val="24"/>
        </w:rPr>
        <w:t>Capacidad: 600 atenciones anuales estimadas</w:t>
      </w:r>
    </w:p>
    <w:p>
      <w:pPr>
        <w:pStyle w:val="Heading2"/>
      </w:pPr>
      <w:r>
        <w:rPr>
          <w:rFonts w:ascii="Times New Roman" w:hAnsi="Times New Roman"/>
        </w:rPr>
        <w:t>6.4 Componente 4: Fortalecimiento Institucional y Sostenibilidad (15% del presupuesto)</w:t>
      </w:r>
    </w:p>
    <w:p>
      <w:pPr>
        <w:jc w:val="both"/>
      </w:pPr>
      <w:r>
        <w:rPr>
          <w:rFonts w:ascii="Times New Roman" w:hAnsi="Times New Roman"/>
          <w:b w:val="0"/>
          <w:i w:val="0"/>
          <w:sz w:val="24"/>
        </w:rPr>
        <w:t>Este componente transversal garantiza la viabilidad a largo plazo del proyecto, la calidad de la ejecucion y la replicabilidad del modelo. Responde a la Causa 4 (normas sociales y culturales) y a la necesidad de crear un ecosistema institucional de soporte.</w:t>
      </w:r>
    </w:p>
    <w:p>
      <w:r>
        <w:rPr>
          <w:rFonts w:ascii="Times New Roman" w:hAnsi="Times New Roman"/>
          <w:b/>
          <w:i w:val="0"/>
          <w:sz w:val="22"/>
        </w:rPr>
        <w:t>Subcomponente 4.1: Alianzas Publico-Privadas:</w:t>
      </w:r>
    </w:p>
    <w:p>
      <w:pPr>
        <w:pStyle w:val="ListBullet"/>
        <w:spacing w:line="360" w:lineRule="auto"/>
        <w:ind w:left="720"/>
      </w:pPr>
      <w:r>
        <w:rPr>
          <w:rFonts w:ascii="Times New Roman" w:hAnsi="Times New Roman"/>
          <w:sz w:val="24"/>
        </w:rPr>
        <w:t>Convenio con INFOTEP: certificacion oficial de los programas de formacion, cesion de instructores, uso de plataforma educativa</w:t>
      </w:r>
    </w:p>
    <w:p>
      <w:pPr>
        <w:pStyle w:val="ListBullet"/>
        <w:spacing w:line="360" w:lineRule="auto"/>
        <w:ind w:left="720"/>
      </w:pPr>
      <w:r>
        <w:rPr>
          <w:rFonts w:ascii="Times New Roman" w:hAnsi="Times New Roman"/>
          <w:sz w:val="24"/>
        </w:rPr>
        <w:t>Convenio con Superate: referenciacion de beneficiarias elegibles, coordinacion de complementariedad de subsidios</w:t>
      </w:r>
    </w:p>
    <w:p>
      <w:pPr>
        <w:pStyle w:val="ListBullet"/>
        <w:spacing w:line="360" w:lineRule="auto"/>
        <w:ind w:left="720"/>
      </w:pPr>
      <w:r>
        <w:rPr>
          <w:rFonts w:ascii="Times New Roman" w:hAnsi="Times New Roman"/>
          <w:sz w:val="24"/>
        </w:rPr>
        <w:t>Convenio con Ministerio de la Mujer: derivacion de casos, articulacion con las Casas de Acogida y el programa Supérate Mujer</w:t>
      </w:r>
    </w:p>
    <w:p>
      <w:pPr>
        <w:pStyle w:val="ListBullet"/>
        <w:spacing w:line="360" w:lineRule="auto"/>
        <w:ind w:left="720"/>
      </w:pPr>
      <w:r>
        <w:rPr>
          <w:rFonts w:ascii="Times New Roman" w:hAnsi="Times New Roman"/>
          <w:sz w:val="24"/>
        </w:rPr>
        <w:t>Convenio con MICM: formalizacion de emprendimientos, acceso a programas PROMIPYME, participacion en ferias</w:t>
      </w:r>
    </w:p>
    <w:p>
      <w:pPr>
        <w:pStyle w:val="ListBullet"/>
        <w:spacing w:line="360" w:lineRule="auto"/>
        <w:ind w:left="720"/>
      </w:pPr>
      <w:r>
        <w:rPr>
          <w:rFonts w:ascii="Times New Roman" w:hAnsi="Times New Roman"/>
          <w:sz w:val="24"/>
        </w:rPr>
        <w:t>Convenios con empresas privadas: donaciones en especie (equipos, materiales), pasantias laborales, compras corporativas a emprendimientos de egresadas</w:t>
      </w:r>
    </w:p>
    <w:p>
      <w:pPr>
        <w:pStyle w:val="ListBullet"/>
        <w:spacing w:line="360" w:lineRule="auto"/>
        <w:ind w:left="720"/>
      </w:pPr>
      <w:r>
        <w:rPr>
          <w:rFonts w:ascii="Times New Roman" w:hAnsi="Times New Roman"/>
          <w:sz w:val="24"/>
        </w:rPr>
        <w:t>Convenio con asociaciones de madres solteras y OSC locales: participacion comunitaria y veeduria social</w:t>
      </w:r>
    </w:p>
    <w:p>
      <w:r>
        <w:rPr>
          <w:rFonts w:ascii="Times New Roman" w:hAnsi="Times New Roman"/>
          <w:b/>
          <w:i w:val="0"/>
          <w:sz w:val="22"/>
        </w:rPr>
        <w:t>Subcomponente 4.2: Fondo Rotatorio de Capital Semilla:</w:t>
      </w:r>
    </w:p>
    <w:p>
      <w:pPr>
        <w:jc w:val="both"/>
      </w:pPr>
      <w:r>
        <w:rPr>
          <w:rFonts w:ascii="Times New Roman" w:hAnsi="Times New Roman"/>
          <w:b w:val="0"/>
          <w:i w:val="0"/>
          <w:sz w:val="24"/>
        </w:rPr>
        <w:t>Se disena un mecanismo financiero innovador donde los retornos parciales de los emprendimientos exitosos (mediante un esquema de reintegro voluntario o fondo de solidaridad) se reinvierten en nuevas beneficiarias. Este mecanismo, documentado por ONU Mujeres y CAF como buena practica en proyectos de genero, permite que el fondo sea progresivamente autosostenible a partir del tercer ano de operacion.</w:t>
      </w:r>
    </w:p>
    <w:p>
      <w:r>
        <w:rPr>
          <w:rFonts w:ascii="Times New Roman" w:hAnsi="Times New Roman"/>
          <w:b/>
          <w:i w:val="0"/>
          <w:sz w:val="22"/>
        </w:rPr>
        <w:t>Subcomponente 4.3: Sistema de Monitoreo y Evaluacion:</w:t>
      </w:r>
    </w:p>
    <w:p>
      <w:pPr>
        <w:jc w:val="both"/>
      </w:pPr>
      <w:r>
        <w:rPr>
          <w:rFonts w:ascii="Times New Roman" w:hAnsi="Times New Roman"/>
          <w:b w:val="0"/>
          <w:i w:val="0"/>
          <w:sz w:val="24"/>
        </w:rPr>
        <w:t>Plataforma digital de seguimiento de indicadores en tiempo real (ver detalle en Seccion 12 — Plan M&amp;E). Incluye dashboard ejecutivo para la UEP, alertas tempranas de desviacion y generacion automatica de reportes para el organismo financiador. El sistema es desarrollado a medida o adaptado de plataformas existentes de codigo abierto para gestion de proyectos sociales.</w:t>
      </w:r>
    </w:p>
    <w:p>
      <w:r>
        <w:rPr>
          <w:rFonts w:ascii="Times New Roman" w:hAnsi="Times New Roman"/>
          <w:b/>
          <w:i w:val="0"/>
          <w:sz w:val="22"/>
        </w:rPr>
        <w:t>Subcomponente 4.4: Incidencia Politica y Escalamiento:</w:t>
      </w:r>
    </w:p>
    <w:p>
      <w:pPr>
        <w:jc w:val="both"/>
      </w:pPr>
      <w:r>
        <w:rPr>
          <w:rFonts w:ascii="Times New Roman" w:hAnsi="Times New Roman"/>
          <w:b w:val="0"/>
          <w:i w:val="0"/>
          <w:sz w:val="24"/>
        </w:rPr>
        <w:t>A partir del tercer ano, se implementa una estrategia de incidencia para posicionar el modelo como politica publica. Esto incluye la sistematizacion de lecciones aprendidas, la elaboracion de un manual de replicacion, la presentacion de resultados ante el Consejo de Politicas Sociales y la inclusion del modelo en el presupuesto nacional del MEPyD. Se estima que el costo de replicacion en otra provincia se reduce en un 30-40% al aprovechar los curriculos estandarizados y los manuales de procedimientos desarrollados.</w:t>
      </w:r>
    </w:p>
    <w:p>
      <w:r>
        <w:br w:type="page"/>
      </w:r>
    </w:p>
    <w:p>
      <w:pPr>
        <w:pStyle w:val="Heading1"/>
      </w:pPr>
      <w:r>
        <w:rPr>
          <w:rFonts w:ascii="Times New Roman" w:hAnsi="Times New Roman"/>
        </w:rPr>
        <w:t>7. PRESUPUESTO</w:t>
      </w:r>
    </w:p>
    <w:p>
      <w:pPr>
        <w:jc w:val="both"/>
      </w:pPr>
      <w:r>
        <w:rPr>
          <w:rFonts w:ascii="Times New Roman" w:hAnsi="Times New Roman"/>
          <w:b w:val="0"/>
          <w:i w:val="0"/>
          <w:sz w:val="24"/>
        </w:rPr>
        <w:t>El presupuesto total del proyecto asciende a RD$ 110,100,000 (aproximadamente US$ 1,870,000 al tipo de cambio de RD$ 58.9/US$ correspondiente a junio 2026), para un periodo de ejecucion de 5 anos. Se presentan tres vistas complementarias: por componente (estilo BID), por ano de ejecucion (flujo de caja), y por categoria de gasto (formato PNUD Quantum).</w:t>
      </w:r>
    </w:p>
    <w:p>
      <w:pPr>
        <w:pStyle w:val="Heading2"/>
      </w:pPr>
      <w:r>
        <w:rPr>
          <w:rFonts w:ascii="Times New Roman" w:hAnsi="Times New Roman"/>
        </w:rPr>
        <w:t>7.1 Vista por Componente (Formato BID)</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551"/>
            <w:shd w:fill="003366" w:val="clear"/>
          </w:tcPr>
          <w:p>
            <w:pPr>
              <w:jc w:val="center"/>
            </w:pPr>
            <w:r/>
            <w:r>
              <w:rPr>
                <w:rFonts w:ascii="Times New Roman" w:hAnsi="Times New Roman"/>
                <w:b/>
                <w:color w:val="FFFFFF"/>
                <w:sz w:val="20"/>
              </w:rPr>
              <w:t>Componente</w:t>
            </w:r>
          </w:p>
        </w:tc>
        <w:tc>
          <w:tcPr>
            <w:tcW w:type="dxa" w:w="1701"/>
            <w:shd w:fill="003366" w:val="clear"/>
          </w:tcPr>
          <w:p>
            <w:pPr>
              <w:jc w:val="center"/>
            </w:pPr>
            <w:r/>
            <w:r>
              <w:rPr>
                <w:rFonts w:ascii="Times New Roman" w:hAnsi="Times New Roman"/>
                <w:b/>
                <w:color w:val="FFFFFF"/>
                <w:sz w:val="20"/>
              </w:rPr>
              <w:t>Monto (RD$)</w:t>
            </w:r>
          </w:p>
        </w:tc>
        <w:tc>
          <w:tcPr>
            <w:tcW w:type="dxa" w:w="850"/>
            <w:shd w:fill="003366" w:val="clear"/>
          </w:tcPr>
          <w:p>
            <w:pPr>
              <w:jc w:val="center"/>
            </w:pPr>
            <w:r/>
            <w:r>
              <w:rPr>
                <w:rFonts w:ascii="Times New Roman" w:hAnsi="Times New Roman"/>
                <w:b/>
                <w:color w:val="FFFFFF"/>
                <w:sz w:val="20"/>
              </w:rPr>
              <w:t>%</w:t>
            </w:r>
          </w:p>
        </w:tc>
        <w:tc>
          <w:tcPr>
            <w:tcW w:type="dxa" w:w="4252"/>
            <w:shd w:fill="003366" w:val="clear"/>
          </w:tcPr>
          <w:p>
            <w:pPr>
              <w:jc w:val="center"/>
            </w:pPr>
            <w:r/>
            <w:r>
              <w:rPr>
                <w:rFonts w:ascii="Times New Roman" w:hAnsi="Times New Roman"/>
                <w:b/>
                <w:color w:val="FFFFFF"/>
                <w:sz w:val="20"/>
              </w:rPr>
              <w:t>Descripcion</w:t>
            </w:r>
          </w:p>
        </w:tc>
      </w:tr>
      <w:tr>
        <w:tc>
          <w:tcPr>
            <w:tcW w:type="dxa" w:w="2551"/>
          </w:tcPr>
          <w:p>
            <w:r/>
            <w:r>
              <w:rPr>
                <w:rFonts w:ascii="Times New Roman" w:hAnsi="Times New Roman"/>
                <w:b/>
                <w:sz w:val="20"/>
              </w:rPr>
              <w:t>C1: Formacion Tecnica Integral</w:t>
            </w:r>
          </w:p>
        </w:tc>
        <w:tc>
          <w:tcPr>
            <w:tcW w:type="dxa" w:w="1701"/>
          </w:tcPr>
          <w:p>
            <w:r/>
            <w:r>
              <w:rPr>
                <w:rFonts w:ascii="Times New Roman" w:hAnsi="Times New Roman"/>
                <w:sz w:val="20"/>
              </w:rPr>
              <w:t>38,535,000</w:t>
            </w:r>
          </w:p>
        </w:tc>
        <w:tc>
          <w:tcPr>
            <w:tcW w:type="dxa" w:w="850"/>
          </w:tcPr>
          <w:p>
            <w:r/>
            <w:r>
              <w:rPr>
                <w:rFonts w:ascii="Times New Roman" w:hAnsi="Times New Roman"/>
                <w:sz w:val="20"/>
              </w:rPr>
              <w:t>35%</w:t>
            </w:r>
          </w:p>
        </w:tc>
        <w:tc>
          <w:tcPr>
            <w:tcW w:type="dxa" w:w="4252"/>
          </w:tcPr>
          <w:p>
            <w:r/>
            <w:r>
              <w:rPr>
                <w:rFonts w:ascii="Times New Roman" w:hAnsi="Times New Roman"/>
                <w:sz w:val="20"/>
              </w:rPr>
              <w:t>Curriculos, instructores, materia prima, certificaciones, equipamiento aulas</w:t>
            </w:r>
          </w:p>
        </w:tc>
      </w:tr>
      <w:tr>
        <w:tc>
          <w:tcPr>
            <w:tcW w:type="dxa" w:w="2551"/>
          </w:tcPr>
          <w:p>
            <w:r/>
            <w:r>
              <w:rPr>
                <w:rFonts w:ascii="Times New Roman" w:hAnsi="Times New Roman"/>
                <w:b/>
                <w:sz w:val="20"/>
              </w:rPr>
              <w:t>C2: Capital Semilla y Acompanamiento</w:t>
            </w:r>
          </w:p>
        </w:tc>
        <w:tc>
          <w:tcPr>
            <w:tcW w:type="dxa" w:w="1701"/>
          </w:tcPr>
          <w:p>
            <w:r/>
            <w:r>
              <w:rPr>
                <w:rFonts w:ascii="Times New Roman" w:hAnsi="Times New Roman"/>
                <w:sz w:val="20"/>
              </w:rPr>
              <w:t>27,525,000</w:t>
            </w:r>
          </w:p>
        </w:tc>
        <w:tc>
          <w:tcPr>
            <w:tcW w:type="dxa" w:w="850"/>
          </w:tcPr>
          <w:p>
            <w:r/>
            <w:r>
              <w:rPr>
                <w:rFonts w:ascii="Times New Roman" w:hAnsi="Times New Roman"/>
                <w:sz w:val="20"/>
              </w:rPr>
              <w:t>25%</w:t>
            </w:r>
          </w:p>
        </w:tc>
        <w:tc>
          <w:tcPr>
            <w:tcW w:type="dxa" w:w="4252"/>
          </w:tcPr>
          <w:p>
            <w:r/>
            <w:r>
              <w:rPr>
                <w:rFonts w:ascii="Times New Roman" w:hAnsi="Times New Roman"/>
                <w:sz w:val="20"/>
              </w:rPr>
              <w:t>Fondo de capital semilla, tutoria empresarial, vinculacion financiera</w:t>
            </w:r>
          </w:p>
        </w:tc>
      </w:tr>
      <w:tr>
        <w:tc>
          <w:tcPr>
            <w:tcW w:type="dxa" w:w="2551"/>
          </w:tcPr>
          <w:p>
            <w:r/>
            <w:r>
              <w:rPr>
                <w:rFonts w:ascii="Times New Roman" w:hAnsi="Times New Roman"/>
                <w:b/>
                <w:sz w:val="20"/>
              </w:rPr>
              <w:t>C3: Servicios Integrales (Guarderia + Dispensario)</w:t>
            </w:r>
          </w:p>
        </w:tc>
        <w:tc>
          <w:tcPr>
            <w:tcW w:type="dxa" w:w="1701"/>
          </w:tcPr>
          <w:p>
            <w:r/>
            <w:r>
              <w:rPr>
                <w:rFonts w:ascii="Times New Roman" w:hAnsi="Times New Roman"/>
                <w:sz w:val="20"/>
              </w:rPr>
              <w:t>27,525,000</w:t>
            </w:r>
          </w:p>
        </w:tc>
        <w:tc>
          <w:tcPr>
            <w:tcW w:type="dxa" w:w="850"/>
          </w:tcPr>
          <w:p>
            <w:r/>
            <w:r>
              <w:rPr>
                <w:rFonts w:ascii="Times New Roman" w:hAnsi="Times New Roman"/>
                <w:sz w:val="20"/>
              </w:rPr>
              <w:t>25%</w:t>
            </w:r>
          </w:p>
        </w:tc>
        <w:tc>
          <w:tcPr>
            <w:tcW w:type="dxa" w:w="4252"/>
          </w:tcPr>
          <w:p>
            <w:r/>
            <w:r>
              <w:rPr>
                <w:rFonts w:ascii="Times New Roman" w:hAnsi="Times New Roman"/>
                <w:sz w:val="20"/>
              </w:rPr>
              <w:t>Operacion guarderia, personal medico, equipamiento, farmacia, alimentacion infantil</w:t>
            </w:r>
          </w:p>
        </w:tc>
      </w:tr>
      <w:tr>
        <w:tc>
          <w:tcPr>
            <w:tcW w:type="dxa" w:w="2551"/>
          </w:tcPr>
          <w:p>
            <w:r/>
            <w:r>
              <w:rPr>
                <w:rFonts w:ascii="Times New Roman" w:hAnsi="Times New Roman"/>
                <w:b/>
                <w:sz w:val="20"/>
              </w:rPr>
              <w:t>C4: Fortalecimiento Institucional</w:t>
            </w:r>
          </w:p>
        </w:tc>
        <w:tc>
          <w:tcPr>
            <w:tcW w:type="dxa" w:w="1701"/>
          </w:tcPr>
          <w:p>
            <w:r/>
            <w:r>
              <w:rPr>
                <w:rFonts w:ascii="Times New Roman" w:hAnsi="Times New Roman"/>
                <w:sz w:val="20"/>
              </w:rPr>
              <w:t>16,515,000</w:t>
            </w:r>
          </w:p>
        </w:tc>
        <w:tc>
          <w:tcPr>
            <w:tcW w:type="dxa" w:w="850"/>
          </w:tcPr>
          <w:p>
            <w:r/>
            <w:r>
              <w:rPr>
                <w:rFonts w:ascii="Times New Roman" w:hAnsi="Times New Roman"/>
                <w:sz w:val="20"/>
              </w:rPr>
              <w:t>15%</w:t>
            </w:r>
          </w:p>
        </w:tc>
        <w:tc>
          <w:tcPr>
            <w:tcW w:type="dxa" w:w="4252"/>
          </w:tcPr>
          <w:p>
            <w:r/>
            <w:r>
              <w:rPr>
                <w:rFonts w:ascii="Times New Roman" w:hAnsi="Times New Roman"/>
                <w:sz w:val="20"/>
              </w:rPr>
              <w:t>Alianzas, sistema M&amp;E, fondo rotatorio, incidencia politica, evaluaciones</w:t>
            </w:r>
          </w:p>
        </w:tc>
      </w:tr>
      <w:tr>
        <w:tc>
          <w:tcPr>
            <w:tcW w:type="dxa" w:w="2551"/>
          </w:tcPr>
          <w:p>
            <w:r/>
            <w:r>
              <w:rPr>
                <w:rFonts w:ascii="Times New Roman" w:hAnsi="Times New Roman"/>
                <w:b/>
                <w:sz w:val="20"/>
              </w:rPr>
              <w:t>TOTAL</w:t>
            </w:r>
          </w:p>
        </w:tc>
        <w:tc>
          <w:tcPr>
            <w:tcW w:type="dxa" w:w="1701"/>
          </w:tcPr>
          <w:p>
            <w:r/>
            <w:r>
              <w:rPr>
                <w:rFonts w:ascii="Times New Roman" w:hAnsi="Times New Roman"/>
                <w:sz w:val="20"/>
              </w:rPr>
              <w:t>110,100,000</w:t>
            </w:r>
          </w:p>
        </w:tc>
        <w:tc>
          <w:tcPr>
            <w:tcW w:type="dxa" w:w="850"/>
          </w:tcPr>
          <w:p>
            <w:r/>
            <w:r>
              <w:rPr>
                <w:rFonts w:ascii="Times New Roman" w:hAnsi="Times New Roman"/>
                <w:sz w:val="20"/>
              </w:rPr>
              <w:t>100%</w:t>
            </w:r>
          </w:p>
        </w:tc>
        <w:tc>
          <w:tcPr>
            <w:tcW w:type="dxa" w:w="4252"/>
          </w:tcPr>
          <w:p>
            <w:r/>
            <w:r>
              <w:rPr>
                <w:rFonts w:ascii="Times New Roman" w:hAnsi="Times New Roman"/>
                <w:sz w:val="20"/>
              </w:rPr>
            </w:r>
          </w:p>
        </w:tc>
      </w:tr>
    </w:tbl>
    <w:p>
      <w:pPr>
        <w:pStyle w:val="Heading2"/>
      </w:pPr>
      <w:r>
        <w:rPr>
          <w:rFonts w:ascii="Times New Roman" w:hAnsi="Times New Roman"/>
        </w:rPr>
        <w:t>7.2 Vista por Ano de Ejecucion (Flujo de Caja)</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68"/>
            <w:shd w:fill="003366" w:val="clear"/>
          </w:tcPr>
          <w:p>
            <w:pPr>
              <w:jc w:val="center"/>
            </w:pPr>
            <w:r/>
            <w:r>
              <w:rPr>
                <w:rFonts w:ascii="Times New Roman" w:hAnsi="Times New Roman"/>
                <w:b/>
                <w:color w:val="FFFFFF"/>
                <w:sz w:val="20"/>
              </w:rPr>
              <w:t>Periodo</w:t>
            </w:r>
          </w:p>
        </w:tc>
        <w:tc>
          <w:tcPr>
            <w:tcW w:type="dxa" w:w="1701"/>
            <w:shd w:fill="003366" w:val="clear"/>
          </w:tcPr>
          <w:p>
            <w:pPr>
              <w:jc w:val="center"/>
            </w:pPr>
            <w:r/>
            <w:r>
              <w:rPr>
                <w:rFonts w:ascii="Times New Roman" w:hAnsi="Times New Roman"/>
                <w:b/>
                <w:color w:val="FFFFFF"/>
                <w:sz w:val="20"/>
              </w:rPr>
              <w:t>Monto</w:t>
            </w:r>
          </w:p>
        </w:tc>
        <w:tc>
          <w:tcPr>
            <w:tcW w:type="dxa" w:w="850"/>
            <w:shd w:fill="003366" w:val="clear"/>
          </w:tcPr>
          <w:p>
            <w:pPr>
              <w:jc w:val="center"/>
            </w:pPr>
            <w:r/>
            <w:r>
              <w:rPr>
                <w:rFonts w:ascii="Times New Roman" w:hAnsi="Times New Roman"/>
                <w:b/>
                <w:color w:val="FFFFFF"/>
                <w:sz w:val="20"/>
              </w:rPr>
              <w:t>%</w:t>
            </w:r>
          </w:p>
        </w:tc>
        <w:tc>
          <w:tcPr>
            <w:tcW w:type="dxa" w:w="4535"/>
            <w:shd w:fill="003366" w:val="clear"/>
          </w:tcPr>
          <w:p>
            <w:pPr>
              <w:jc w:val="center"/>
            </w:pPr>
            <w:r/>
            <w:r>
              <w:rPr>
                <w:rFonts w:ascii="Times New Roman" w:hAnsi="Times New Roman"/>
                <w:b/>
                <w:color w:val="FFFFFF"/>
                <w:sz w:val="20"/>
              </w:rPr>
              <w:t>Actividades Principales</w:t>
            </w:r>
          </w:p>
        </w:tc>
      </w:tr>
      <w:tr>
        <w:tc>
          <w:tcPr>
            <w:tcW w:type="dxa" w:w="2268"/>
          </w:tcPr>
          <w:p>
            <w:r/>
            <w:r>
              <w:rPr>
                <w:rFonts w:ascii="Times New Roman" w:hAnsi="Times New Roman"/>
                <w:b/>
                <w:sz w:val="20"/>
              </w:rPr>
              <w:t>Ano 1 (Pre-operacion + inicio operaciones)</w:t>
            </w:r>
          </w:p>
        </w:tc>
        <w:tc>
          <w:tcPr>
            <w:tcW w:type="dxa" w:w="1701"/>
          </w:tcPr>
          <w:p>
            <w:r/>
            <w:r>
              <w:rPr>
                <w:rFonts w:ascii="Times New Roman" w:hAnsi="Times New Roman"/>
                <w:sz w:val="20"/>
              </w:rPr>
              <w:t>RD$ 42,100,000</w:t>
            </w:r>
          </w:p>
        </w:tc>
        <w:tc>
          <w:tcPr>
            <w:tcW w:type="dxa" w:w="850"/>
          </w:tcPr>
          <w:p>
            <w:r/>
            <w:r>
              <w:rPr>
                <w:rFonts w:ascii="Times New Roman" w:hAnsi="Times New Roman"/>
                <w:sz w:val="20"/>
              </w:rPr>
              <w:t>38.2%</w:t>
            </w:r>
          </w:p>
        </w:tc>
        <w:tc>
          <w:tcPr>
            <w:tcW w:type="dxa" w:w="4535"/>
          </w:tcPr>
          <w:p>
            <w:r/>
            <w:r>
              <w:rPr>
                <w:rFonts w:ascii="Times New Roman" w:hAnsi="Times New Roman"/>
                <w:sz w:val="20"/>
              </w:rPr>
              <w:t>Construccion/adecuacion, equipamiento, contratacion, diseno curricular, primera convocatoria</w:t>
            </w:r>
          </w:p>
        </w:tc>
      </w:tr>
      <w:tr>
        <w:tc>
          <w:tcPr>
            <w:tcW w:type="dxa" w:w="2268"/>
          </w:tcPr>
          <w:p>
            <w:r/>
            <w:r>
              <w:rPr>
                <w:rFonts w:ascii="Times New Roman" w:hAnsi="Times New Roman"/>
                <w:b/>
                <w:sz w:val="20"/>
              </w:rPr>
              <w:t>Ano 2 (Operacion plena + primera graduacion)</w:t>
            </w:r>
          </w:p>
        </w:tc>
        <w:tc>
          <w:tcPr>
            <w:tcW w:type="dxa" w:w="1701"/>
          </w:tcPr>
          <w:p>
            <w:r/>
            <w:r>
              <w:rPr>
                <w:rFonts w:ascii="Times New Roman" w:hAnsi="Times New Roman"/>
                <w:sz w:val="20"/>
              </w:rPr>
              <w:t>RD$ 23,800,000</w:t>
            </w:r>
          </w:p>
        </w:tc>
        <w:tc>
          <w:tcPr>
            <w:tcW w:type="dxa" w:w="850"/>
          </w:tcPr>
          <w:p>
            <w:r/>
            <w:r>
              <w:rPr>
                <w:rFonts w:ascii="Times New Roman" w:hAnsi="Times New Roman"/>
                <w:sz w:val="20"/>
              </w:rPr>
              <w:t>21.6%</w:t>
            </w:r>
          </w:p>
        </w:tc>
        <w:tc>
          <w:tcPr>
            <w:tcW w:type="dxa" w:w="4535"/>
          </w:tcPr>
          <w:p>
            <w:r/>
            <w:r>
              <w:rPr>
                <w:rFonts w:ascii="Times New Roman" w:hAnsi="Times New Roman"/>
                <w:sz w:val="20"/>
              </w:rPr>
              <w:t>Tres ciclos, guarderia y dispensario a plena capacidad, primera entrega capital semilla</w:t>
            </w:r>
          </w:p>
        </w:tc>
      </w:tr>
      <w:tr>
        <w:tc>
          <w:tcPr>
            <w:tcW w:type="dxa" w:w="2268"/>
          </w:tcPr>
          <w:p>
            <w:r/>
            <w:r>
              <w:rPr>
                <w:rFonts w:ascii="Times New Roman" w:hAnsi="Times New Roman"/>
                <w:b/>
                <w:sz w:val="20"/>
              </w:rPr>
              <w:t>Ano 3 (Operacion consolidada + evaluacion intermedia)</w:t>
            </w:r>
          </w:p>
        </w:tc>
        <w:tc>
          <w:tcPr>
            <w:tcW w:type="dxa" w:w="1701"/>
          </w:tcPr>
          <w:p>
            <w:r/>
            <w:r>
              <w:rPr>
                <w:rFonts w:ascii="Times New Roman" w:hAnsi="Times New Roman"/>
                <w:sz w:val="20"/>
              </w:rPr>
              <w:t>RD$ 19,800,000</w:t>
            </w:r>
          </w:p>
        </w:tc>
        <w:tc>
          <w:tcPr>
            <w:tcW w:type="dxa" w:w="850"/>
          </w:tcPr>
          <w:p>
            <w:r/>
            <w:r>
              <w:rPr>
                <w:rFonts w:ascii="Times New Roman" w:hAnsi="Times New Roman"/>
                <w:sz w:val="20"/>
              </w:rPr>
              <w:t>18.0%</w:t>
            </w:r>
          </w:p>
        </w:tc>
        <w:tc>
          <w:tcPr>
            <w:tcW w:type="dxa" w:w="4535"/>
          </w:tcPr>
          <w:p>
            <w:r/>
            <w:r>
              <w:rPr>
                <w:rFonts w:ascii="Times New Roman" w:hAnsi="Times New Roman"/>
                <w:sz w:val="20"/>
              </w:rPr>
              <w:t>Operacion continua, refuerzo acompanamiento, evaluacion intermedia, ajustes</w:t>
            </w:r>
          </w:p>
        </w:tc>
      </w:tr>
      <w:tr>
        <w:tc>
          <w:tcPr>
            <w:tcW w:type="dxa" w:w="2268"/>
          </w:tcPr>
          <w:p>
            <w:r/>
            <w:r>
              <w:rPr>
                <w:rFonts w:ascii="Times New Roman" w:hAnsi="Times New Roman"/>
                <w:b/>
                <w:sz w:val="20"/>
              </w:rPr>
              <w:t>Ano 4 (Operacion + escalamiento)</w:t>
            </w:r>
          </w:p>
        </w:tc>
        <w:tc>
          <w:tcPr>
            <w:tcW w:type="dxa" w:w="1701"/>
          </w:tcPr>
          <w:p>
            <w:r/>
            <w:r>
              <w:rPr>
                <w:rFonts w:ascii="Times New Roman" w:hAnsi="Times New Roman"/>
                <w:sz w:val="20"/>
              </w:rPr>
              <w:t>RD$ 14,650,000</w:t>
            </w:r>
          </w:p>
        </w:tc>
        <w:tc>
          <w:tcPr>
            <w:tcW w:type="dxa" w:w="850"/>
          </w:tcPr>
          <w:p>
            <w:r/>
            <w:r>
              <w:rPr>
                <w:rFonts w:ascii="Times New Roman" w:hAnsi="Times New Roman"/>
                <w:sz w:val="20"/>
              </w:rPr>
              <w:t>13.3%</w:t>
            </w:r>
          </w:p>
        </w:tc>
        <w:tc>
          <w:tcPr>
            <w:tcW w:type="dxa" w:w="4535"/>
          </w:tcPr>
          <w:p>
            <w:r/>
            <w:r>
              <w:rPr>
                <w:rFonts w:ascii="Times New Roman" w:hAnsi="Times New Roman"/>
                <w:sz w:val="20"/>
              </w:rPr>
              <w:t>Operacion, sistematizacion, inicio gestion de escalamiento, nuevas alianzas</w:t>
            </w:r>
          </w:p>
        </w:tc>
      </w:tr>
      <w:tr>
        <w:tc>
          <w:tcPr>
            <w:tcW w:type="dxa" w:w="2268"/>
          </w:tcPr>
          <w:p>
            <w:r/>
            <w:r>
              <w:rPr>
                <w:rFonts w:ascii="Times New Roman" w:hAnsi="Times New Roman"/>
                <w:b/>
                <w:sz w:val="20"/>
              </w:rPr>
              <w:t>Ano 5 (Evaluacion final y cierre)</w:t>
            </w:r>
          </w:p>
        </w:tc>
        <w:tc>
          <w:tcPr>
            <w:tcW w:type="dxa" w:w="1701"/>
          </w:tcPr>
          <w:p>
            <w:r/>
            <w:r>
              <w:rPr>
                <w:rFonts w:ascii="Times New Roman" w:hAnsi="Times New Roman"/>
                <w:sz w:val="20"/>
              </w:rPr>
              <w:t>RD$ 9,750,000</w:t>
            </w:r>
          </w:p>
        </w:tc>
        <w:tc>
          <w:tcPr>
            <w:tcW w:type="dxa" w:w="850"/>
          </w:tcPr>
          <w:p>
            <w:r/>
            <w:r>
              <w:rPr>
                <w:rFonts w:ascii="Times New Roman" w:hAnsi="Times New Roman"/>
                <w:sz w:val="20"/>
              </w:rPr>
              <w:t>8.9%</w:t>
            </w:r>
          </w:p>
        </w:tc>
        <w:tc>
          <w:tcPr>
            <w:tcW w:type="dxa" w:w="4535"/>
          </w:tcPr>
          <w:p>
            <w:r/>
            <w:r>
              <w:rPr>
                <w:rFonts w:ascii="Times New Roman" w:hAnsi="Times New Roman"/>
                <w:sz w:val="20"/>
              </w:rPr>
              <w:t>Evaluacion final de impacto, transferencia de modelo, cierre administrativo</w:t>
            </w:r>
          </w:p>
        </w:tc>
      </w:tr>
      <w:tr>
        <w:tc>
          <w:tcPr>
            <w:tcW w:type="dxa" w:w="2268"/>
          </w:tcPr>
          <w:p>
            <w:r/>
            <w:r>
              <w:rPr>
                <w:rFonts w:ascii="Times New Roman" w:hAnsi="Times New Roman"/>
                <w:b/>
                <w:sz w:val="20"/>
              </w:rPr>
              <w:t>TOTAL</w:t>
            </w:r>
          </w:p>
        </w:tc>
        <w:tc>
          <w:tcPr>
            <w:tcW w:type="dxa" w:w="1701"/>
          </w:tcPr>
          <w:p>
            <w:r/>
            <w:r>
              <w:rPr>
                <w:rFonts w:ascii="Times New Roman" w:hAnsi="Times New Roman"/>
                <w:sz w:val="20"/>
              </w:rPr>
              <w:t>RD$ 110,100,000</w:t>
            </w:r>
          </w:p>
        </w:tc>
        <w:tc>
          <w:tcPr>
            <w:tcW w:type="dxa" w:w="850"/>
          </w:tcPr>
          <w:p>
            <w:r/>
            <w:r>
              <w:rPr>
                <w:rFonts w:ascii="Times New Roman" w:hAnsi="Times New Roman"/>
                <w:sz w:val="20"/>
              </w:rPr>
              <w:t>100%</w:t>
            </w:r>
          </w:p>
        </w:tc>
        <w:tc>
          <w:tcPr>
            <w:tcW w:type="dxa" w:w="4535"/>
          </w:tcPr>
          <w:p>
            <w:r/>
            <w:r>
              <w:rPr>
                <w:rFonts w:ascii="Times New Roman" w:hAnsi="Times New Roman"/>
                <w:sz w:val="20"/>
              </w:rPr>
            </w:r>
          </w:p>
        </w:tc>
      </w:tr>
    </w:tbl>
    <w:p>
      <w:pPr>
        <w:pStyle w:val="Heading2"/>
      </w:pPr>
      <w:r>
        <w:rPr>
          <w:rFonts w:ascii="Times New Roman" w:hAnsi="Times New Roman"/>
        </w:rPr>
        <w:t>7.3 Vista por Categoria de Gasto (Formato PNUD / Quantum)</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68"/>
            <w:shd w:fill="003366" w:val="clear"/>
          </w:tcPr>
          <w:p>
            <w:pPr>
              <w:jc w:val="center"/>
            </w:pPr>
            <w:r/>
            <w:r>
              <w:rPr>
                <w:rFonts w:ascii="Times New Roman" w:hAnsi="Times New Roman"/>
                <w:b/>
                <w:color w:val="FFFFFF"/>
                <w:sz w:val="20"/>
              </w:rPr>
              <w:t>Categoria (Atlas)</w:t>
            </w:r>
          </w:p>
        </w:tc>
        <w:tc>
          <w:tcPr>
            <w:tcW w:type="dxa" w:w="1701"/>
            <w:shd w:fill="003366" w:val="clear"/>
          </w:tcPr>
          <w:p>
            <w:pPr>
              <w:jc w:val="center"/>
            </w:pPr>
            <w:r/>
            <w:r>
              <w:rPr>
                <w:rFonts w:ascii="Times New Roman" w:hAnsi="Times New Roman"/>
                <w:b/>
                <w:color w:val="FFFFFF"/>
                <w:sz w:val="20"/>
              </w:rPr>
              <w:t>Monto (RD$)</w:t>
            </w:r>
          </w:p>
        </w:tc>
        <w:tc>
          <w:tcPr>
            <w:tcW w:type="dxa" w:w="850"/>
            <w:shd w:fill="003366" w:val="clear"/>
          </w:tcPr>
          <w:p>
            <w:pPr>
              <w:jc w:val="center"/>
            </w:pPr>
            <w:r/>
            <w:r>
              <w:rPr>
                <w:rFonts w:ascii="Times New Roman" w:hAnsi="Times New Roman"/>
                <w:b/>
                <w:color w:val="FFFFFF"/>
                <w:sz w:val="20"/>
              </w:rPr>
              <w:t>%</w:t>
            </w:r>
          </w:p>
        </w:tc>
        <w:tc>
          <w:tcPr>
            <w:tcW w:type="dxa" w:w="4535"/>
            <w:shd w:fill="003366" w:val="clear"/>
          </w:tcPr>
          <w:p>
            <w:pPr>
              <w:jc w:val="center"/>
            </w:pPr>
            <w:r/>
            <w:r>
              <w:rPr>
                <w:rFonts w:ascii="Times New Roman" w:hAnsi="Times New Roman"/>
                <w:b/>
                <w:color w:val="FFFFFF"/>
                <w:sz w:val="20"/>
              </w:rPr>
              <w:t>Descripcion</w:t>
            </w:r>
          </w:p>
        </w:tc>
      </w:tr>
      <w:tr>
        <w:tc>
          <w:tcPr>
            <w:tcW w:type="dxa" w:w="2268"/>
          </w:tcPr>
          <w:p>
            <w:r/>
            <w:r>
              <w:rPr>
                <w:rFonts w:ascii="Times New Roman" w:hAnsi="Times New Roman"/>
                <w:b/>
                <w:sz w:val="20"/>
              </w:rPr>
              <w:t>1. Personal del Proyecto (staff)</w:t>
            </w:r>
          </w:p>
        </w:tc>
        <w:tc>
          <w:tcPr>
            <w:tcW w:type="dxa" w:w="1701"/>
          </w:tcPr>
          <w:p>
            <w:r/>
            <w:r>
              <w:rPr>
                <w:rFonts w:ascii="Times New Roman" w:hAnsi="Times New Roman"/>
                <w:sz w:val="20"/>
              </w:rPr>
              <w:t>RD$ 18,000,000</w:t>
            </w:r>
          </w:p>
        </w:tc>
        <w:tc>
          <w:tcPr>
            <w:tcW w:type="dxa" w:w="850"/>
          </w:tcPr>
          <w:p>
            <w:r/>
            <w:r>
              <w:rPr>
                <w:rFonts w:ascii="Times New Roman" w:hAnsi="Times New Roman"/>
                <w:sz w:val="20"/>
              </w:rPr>
              <w:t>16.3%</w:t>
            </w:r>
          </w:p>
        </w:tc>
        <w:tc>
          <w:tcPr>
            <w:tcW w:type="dxa" w:w="4535"/>
          </w:tcPr>
          <w:p>
            <w:r/>
            <w:r>
              <w:rPr>
                <w:rFonts w:ascii="Times New Roman" w:hAnsi="Times New Roman"/>
                <w:sz w:val="20"/>
              </w:rPr>
              <w:t>Director/a, coordinadores, instructores, personal administrativo, personal guarderia y salud</w:t>
            </w:r>
          </w:p>
        </w:tc>
      </w:tr>
      <w:tr>
        <w:tc>
          <w:tcPr>
            <w:tcW w:type="dxa" w:w="2268"/>
          </w:tcPr>
          <w:p>
            <w:r/>
            <w:r>
              <w:rPr>
                <w:rFonts w:ascii="Times New Roman" w:hAnsi="Times New Roman"/>
                <w:b/>
                <w:sz w:val="20"/>
              </w:rPr>
              <w:t>2. Bienes, Suministros y Materiales</w:t>
            </w:r>
          </w:p>
        </w:tc>
        <w:tc>
          <w:tcPr>
            <w:tcW w:type="dxa" w:w="1701"/>
          </w:tcPr>
          <w:p>
            <w:r/>
            <w:r>
              <w:rPr>
                <w:rFonts w:ascii="Times New Roman" w:hAnsi="Times New Roman"/>
                <w:sz w:val="20"/>
              </w:rPr>
              <w:t>RD$ 12,500,000</w:t>
            </w:r>
          </w:p>
        </w:tc>
        <w:tc>
          <w:tcPr>
            <w:tcW w:type="dxa" w:w="850"/>
          </w:tcPr>
          <w:p>
            <w:r/>
            <w:r>
              <w:rPr>
                <w:rFonts w:ascii="Times New Roman" w:hAnsi="Times New Roman"/>
                <w:sz w:val="20"/>
              </w:rPr>
              <w:t>11.4%</w:t>
            </w:r>
          </w:p>
        </w:tc>
        <w:tc>
          <w:tcPr>
            <w:tcW w:type="dxa" w:w="4535"/>
          </w:tcPr>
          <w:p>
            <w:r/>
            <w:r>
              <w:rPr>
                <w:rFonts w:ascii="Times New Roman" w:hAnsi="Times New Roman"/>
                <w:sz w:val="20"/>
              </w:rPr>
              <w:t>Material didactico, materia prima talleres, insumos medicos, alimentacion infantil, utiles</w:t>
            </w:r>
          </w:p>
        </w:tc>
      </w:tr>
      <w:tr>
        <w:tc>
          <w:tcPr>
            <w:tcW w:type="dxa" w:w="2268"/>
          </w:tcPr>
          <w:p>
            <w:r/>
            <w:r>
              <w:rPr>
                <w:rFonts w:ascii="Times New Roman" w:hAnsi="Times New Roman"/>
                <w:b/>
                <w:sz w:val="20"/>
              </w:rPr>
              <w:t>3. Equipos, Vehiculos y Mobiliario</w:t>
            </w:r>
          </w:p>
        </w:tc>
        <w:tc>
          <w:tcPr>
            <w:tcW w:type="dxa" w:w="1701"/>
          </w:tcPr>
          <w:p>
            <w:r/>
            <w:r>
              <w:rPr>
                <w:rFonts w:ascii="Times New Roman" w:hAnsi="Times New Roman"/>
                <w:sz w:val="20"/>
              </w:rPr>
              <w:t>RD$ 28,000,000</w:t>
            </w:r>
          </w:p>
        </w:tc>
        <w:tc>
          <w:tcPr>
            <w:tcW w:type="dxa" w:w="850"/>
          </w:tcPr>
          <w:p>
            <w:r/>
            <w:r>
              <w:rPr>
                <w:rFonts w:ascii="Times New Roman" w:hAnsi="Times New Roman"/>
                <w:sz w:val="20"/>
              </w:rPr>
              <w:t>25.4%</w:t>
            </w:r>
          </w:p>
        </w:tc>
        <w:tc>
          <w:tcPr>
            <w:tcW w:type="dxa" w:w="4535"/>
          </w:tcPr>
          <w:p>
            <w:r/>
            <w:r>
              <w:rPr>
                <w:rFonts w:ascii="Times New Roman" w:hAnsi="Times New Roman"/>
                <w:sz w:val="20"/>
              </w:rPr>
              <w:t>Equipamiento aulas y talleres, equipos guarderia, equipos dispensario, computo, mobiliario</w:t>
            </w:r>
          </w:p>
        </w:tc>
      </w:tr>
      <w:tr>
        <w:tc>
          <w:tcPr>
            <w:tcW w:type="dxa" w:w="2268"/>
          </w:tcPr>
          <w:p>
            <w:r/>
            <w:r>
              <w:rPr>
                <w:rFonts w:ascii="Times New Roman" w:hAnsi="Times New Roman"/>
                <w:b/>
                <w:sz w:val="20"/>
              </w:rPr>
              <w:t>4. Servicios Contractuales</w:t>
            </w:r>
          </w:p>
        </w:tc>
        <w:tc>
          <w:tcPr>
            <w:tcW w:type="dxa" w:w="1701"/>
          </w:tcPr>
          <w:p>
            <w:r/>
            <w:r>
              <w:rPr>
                <w:rFonts w:ascii="Times New Roman" w:hAnsi="Times New Roman"/>
                <w:sz w:val="20"/>
              </w:rPr>
              <w:t>RD$ 8,500,000</w:t>
            </w:r>
          </w:p>
        </w:tc>
        <w:tc>
          <w:tcPr>
            <w:tcW w:type="dxa" w:w="850"/>
          </w:tcPr>
          <w:p>
            <w:r/>
            <w:r>
              <w:rPr>
                <w:rFonts w:ascii="Times New Roman" w:hAnsi="Times New Roman"/>
                <w:sz w:val="20"/>
              </w:rPr>
              <w:t>7.7%</w:t>
            </w:r>
          </w:p>
        </w:tc>
        <w:tc>
          <w:tcPr>
            <w:tcW w:type="dxa" w:w="4535"/>
          </w:tcPr>
          <w:p>
            <w:r/>
            <w:r>
              <w:rPr>
                <w:rFonts w:ascii="Times New Roman" w:hAnsi="Times New Roman"/>
                <w:sz w:val="20"/>
              </w:rPr>
              <w:t>Consultorias curriculares, evaluaciones externas, diseno sistema M&amp;E, auditoria, plataforma digital</w:t>
            </w:r>
          </w:p>
        </w:tc>
      </w:tr>
      <w:tr>
        <w:tc>
          <w:tcPr>
            <w:tcW w:type="dxa" w:w="2268"/>
          </w:tcPr>
          <w:p>
            <w:r/>
            <w:r>
              <w:rPr>
                <w:rFonts w:ascii="Times New Roman" w:hAnsi="Times New Roman"/>
                <w:b/>
                <w:sz w:val="20"/>
              </w:rPr>
              <w:t>5. Viajes</w:t>
            </w:r>
          </w:p>
        </w:tc>
        <w:tc>
          <w:tcPr>
            <w:tcW w:type="dxa" w:w="1701"/>
          </w:tcPr>
          <w:p>
            <w:r/>
            <w:r>
              <w:rPr>
                <w:rFonts w:ascii="Times New Roman" w:hAnsi="Times New Roman"/>
                <w:sz w:val="20"/>
              </w:rPr>
              <w:t>RD$ 3,000,000</w:t>
            </w:r>
          </w:p>
        </w:tc>
        <w:tc>
          <w:tcPr>
            <w:tcW w:type="dxa" w:w="850"/>
          </w:tcPr>
          <w:p>
            <w:r/>
            <w:r>
              <w:rPr>
                <w:rFonts w:ascii="Times New Roman" w:hAnsi="Times New Roman"/>
                <w:sz w:val="20"/>
              </w:rPr>
              <w:t>2.7%</w:t>
            </w:r>
          </w:p>
        </w:tc>
        <w:tc>
          <w:tcPr>
            <w:tcW w:type="dxa" w:w="4535"/>
          </w:tcPr>
          <w:p>
            <w:r/>
            <w:r>
              <w:rPr>
                <w:rFonts w:ascii="Times New Roman" w:hAnsi="Times New Roman"/>
                <w:sz w:val="20"/>
              </w:rPr>
              <w:t>Visitas de seguimiento, ferias de emprendimiento, intercambio de experiencias, supervision</w:t>
            </w:r>
          </w:p>
        </w:tc>
      </w:tr>
      <w:tr>
        <w:tc>
          <w:tcPr>
            <w:tcW w:type="dxa" w:w="2268"/>
          </w:tcPr>
          <w:p>
            <w:r/>
            <w:r>
              <w:rPr>
                <w:rFonts w:ascii="Times New Roman" w:hAnsi="Times New Roman"/>
                <w:b/>
                <w:sz w:val="20"/>
              </w:rPr>
              <w:t>6. Transferencias y Subvenciones</w:t>
            </w:r>
          </w:p>
        </w:tc>
        <w:tc>
          <w:tcPr>
            <w:tcW w:type="dxa" w:w="1701"/>
          </w:tcPr>
          <w:p>
            <w:r/>
            <w:r>
              <w:rPr>
                <w:rFonts w:ascii="Times New Roman" w:hAnsi="Times New Roman"/>
                <w:sz w:val="20"/>
              </w:rPr>
              <w:t>RD$ 22,500,000</w:t>
            </w:r>
          </w:p>
        </w:tc>
        <w:tc>
          <w:tcPr>
            <w:tcW w:type="dxa" w:w="850"/>
          </w:tcPr>
          <w:p>
            <w:r/>
            <w:r>
              <w:rPr>
                <w:rFonts w:ascii="Times New Roman" w:hAnsi="Times New Roman"/>
                <w:sz w:val="20"/>
              </w:rPr>
              <w:t>20.4%</w:t>
            </w:r>
          </w:p>
        </w:tc>
        <w:tc>
          <w:tcPr>
            <w:tcW w:type="dxa" w:w="4535"/>
          </w:tcPr>
          <w:p>
            <w:r/>
            <w:r>
              <w:rPr>
                <w:rFonts w:ascii="Times New Roman" w:hAnsi="Times New Roman"/>
                <w:sz w:val="20"/>
              </w:rPr>
              <w:t>Capital semilla a beneficiarias, fondo rotatorio inicial, becas de formacion complementaria</w:t>
            </w:r>
          </w:p>
        </w:tc>
      </w:tr>
      <w:tr>
        <w:tc>
          <w:tcPr>
            <w:tcW w:type="dxa" w:w="2268"/>
          </w:tcPr>
          <w:p>
            <w:r/>
            <w:r>
              <w:rPr>
                <w:rFonts w:ascii="Times New Roman" w:hAnsi="Times New Roman"/>
                <w:b/>
                <w:sz w:val="20"/>
              </w:rPr>
              <w:t>7. Costos Operativos Generales</w:t>
            </w:r>
          </w:p>
        </w:tc>
        <w:tc>
          <w:tcPr>
            <w:tcW w:type="dxa" w:w="1701"/>
          </w:tcPr>
          <w:p>
            <w:r/>
            <w:r>
              <w:rPr>
                <w:rFonts w:ascii="Times New Roman" w:hAnsi="Times New Roman"/>
                <w:sz w:val="20"/>
              </w:rPr>
              <w:t>RD$ 8,600,000</w:t>
            </w:r>
          </w:p>
        </w:tc>
        <w:tc>
          <w:tcPr>
            <w:tcW w:type="dxa" w:w="850"/>
          </w:tcPr>
          <w:p>
            <w:r/>
            <w:r>
              <w:rPr>
                <w:rFonts w:ascii="Times New Roman" w:hAnsi="Times New Roman"/>
                <w:sz w:val="20"/>
              </w:rPr>
              <w:t>7.8%</w:t>
            </w:r>
          </w:p>
        </w:tc>
        <w:tc>
          <w:tcPr>
            <w:tcW w:type="dxa" w:w="4535"/>
          </w:tcPr>
          <w:p>
            <w:r/>
            <w:r>
              <w:rPr>
                <w:rFonts w:ascii="Times New Roman" w:hAnsi="Times New Roman"/>
                <w:sz w:val="20"/>
              </w:rPr>
              <w:t>Servicios basicos (agua, luz, internet), mantenimiento, seguridad, limpieza, seguros</w:t>
            </w:r>
          </w:p>
        </w:tc>
      </w:tr>
      <w:tr>
        <w:tc>
          <w:tcPr>
            <w:tcW w:type="dxa" w:w="2268"/>
          </w:tcPr>
          <w:p>
            <w:r/>
            <w:r>
              <w:rPr>
                <w:rFonts w:ascii="Times New Roman" w:hAnsi="Times New Roman"/>
                <w:b/>
                <w:sz w:val="20"/>
              </w:rPr>
              <w:t>8. Imprevistos</w:t>
            </w:r>
          </w:p>
        </w:tc>
        <w:tc>
          <w:tcPr>
            <w:tcW w:type="dxa" w:w="1701"/>
          </w:tcPr>
          <w:p>
            <w:r/>
            <w:r>
              <w:rPr>
                <w:rFonts w:ascii="Times New Roman" w:hAnsi="Times New Roman"/>
                <w:sz w:val="20"/>
              </w:rPr>
              <w:t>RD$ 9,000,000</w:t>
            </w:r>
          </w:p>
        </w:tc>
        <w:tc>
          <w:tcPr>
            <w:tcW w:type="dxa" w:w="850"/>
          </w:tcPr>
          <w:p>
            <w:r/>
            <w:r>
              <w:rPr>
                <w:rFonts w:ascii="Times New Roman" w:hAnsi="Times New Roman"/>
                <w:sz w:val="20"/>
              </w:rPr>
              <w:t>8.2%</w:t>
            </w:r>
          </w:p>
        </w:tc>
        <w:tc>
          <w:tcPr>
            <w:tcW w:type="dxa" w:w="4535"/>
          </w:tcPr>
          <w:p>
            <w:r/>
            <w:r>
              <w:rPr>
                <w:rFonts w:ascii="Times New Roman" w:hAnsi="Times New Roman"/>
                <w:sz w:val="20"/>
              </w:rPr>
              <w:t>Reserva para contingencias (8.2% del total, dentro del rango estandar BID/PNUD)</w:t>
            </w:r>
          </w:p>
        </w:tc>
      </w:tr>
      <w:tr>
        <w:tc>
          <w:tcPr>
            <w:tcW w:type="dxa" w:w="2268"/>
          </w:tcPr>
          <w:p>
            <w:r/>
            <w:r>
              <w:rPr>
                <w:rFonts w:ascii="Times New Roman" w:hAnsi="Times New Roman"/>
                <w:b/>
                <w:sz w:val="20"/>
              </w:rPr>
              <w:t>TOTAL</w:t>
            </w:r>
          </w:p>
        </w:tc>
        <w:tc>
          <w:tcPr>
            <w:tcW w:type="dxa" w:w="1701"/>
          </w:tcPr>
          <w:p>
            <w:r/>
            <w:r>
              <w:rPr>
                <w:rFonts w:ascii="Times New Roman" w:hAnsi="Times New Roman"/>
                <w:sz w:val="20"/>
              </w:rPr>
              <w:t>RD$ 110,100,000</w:t>
            </w:r>
          </w:p>
        </w:tc>
        <w:tc>
          <w:tcPr>
            <w:tcW w:type="dxa" w:w="850"/>
          </w:tcPr>
          <w:p>
            <w:r/>
            <w:r>
              <w:rPr>
                <w:rFonts w:ascii="Times New Roman" w:hAnsi="Times New Roman"/>
                <w:sz w:val="20"/>
              </w:rPr>
              <w:t>100%</w:t>
            </w:r>
          </w:p>
        </w:tc>
        <w:tc>
          <w:tcPr>
            <w:tcW w:type="dxa" w:w="4535"/>
          </w:tcPr>
          <w:p>
            <w:r/>
            <w:r>
              <w:rPr>
                <w:rFonts w:ascii="Times New Roman" w:hAnsi="Times New Roman"/>
                <w:sz w:val="20"/>
              </w:rPr>
            </w:r>
          </w:p>
        </w:tc>
      </w:tr>
    </w:tbl>
    <w:p>
      <w:r>
        <w:rPr>
          <w:rFonts w:ascii="Times New Roman" w:hAnsi="Times New Roman"/>
          <w:b w:val="0"/>
          <w:i w:val="0"/>
          <w:sz w:val="8"/>
        </w:rPr>
      </w:r>
    </w:p>
    <w:p>
      <w:r>
        <w:rPr>
          <w:rFonts w:ascii="Times New Roman" w:hAnsi="Times New Roman"/>
          <w:b w:val="0"/>
          <w:i/>
          <w:sz w:val="20"/>
        </w:rPr>
        <w:t>Nota: El presupuesto detallado por partida, incluyendo unidades, cantidades, costos unitarios y proveedores referenciales, se encuentra en el Anexo 1 (archivo Microsoft Excel: Presupuesto_Centro_Madres_Solteras.xlsx).</w:t>
      </w:r>
    </w:p>
    <w:p>
      <w:pPr>
        <w:pStyle w:val="Heading1"/>
      </w:pPr>
      <w:r>
        <w:rPr>
          <w:rFonts w:ascii="Times New Roman" w:hAnsi="Times New Roman"/>
        </w:rPr>
        <w:t>8. PLAN DE FINANCIAMIENTO</w:t>
      </w:r>
    </w:p>
    <w:p>
      <w:pPr>
        <w:jc w:val="both"/>
      </w:pPr>
      <w:r>
        <w:rPr>
          <w:rFonts w:ascii="Times New Roman" w:hAnsi="Times New Roman"/>
          <w:b w:val="0"/>
          <w:i w:val="0"/>
          <w:sz w:val="24"/>
        </w:rPr>
        <w:t>Se propone un esquema de cofinanciamiento que distribuye la inversion total entre fuentes internacionales y nacionales. Este esquema sigue las practicas estandar del BID (que exige una contrapartida minima del 20-30% para paises de ingreso medio-alto como RD) y del PNUD (que opera bajo el principio de cofinanciamiento con el gobierno receptor).</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3118"/>
            <w:shd w:fill="003366" w:val="clear"/>
          </w:tcPr>
          <w:p>
            <w:pPr>
              <w:jc w:val="center"/>
            </w:pPr>
            <w:r/>
            <w:r>
              <w:rPr>
                <w:rFonts w:ascii="Times New Roman" w:hAnsi="Times New Roman"/>
                <w:b/>
                <w:color w:val="FFFFFF"/>
                <w:sz w:val="20"/>
              </w:rPr>
              <w:t>Fuente de Financiamiento</w:t>
            </w:r>
          </w:p>
        </w:tc>
        <w:tc>
          <w:tcPr>
            <w:tcW w:type="dxa" w:w="1417"/>
            <w:shd w:fill="003366" w:val="clear"/>
          </w:tcPr>
          <w:p>
            <w:pPr>
              <w:jc w:val="center"/>
            </w:pPr>
            <w:r/>
            <w:r>
              <w:rPr>
                <w:rFonts w:ascii="Times New Roman" w:hAnsi="Times New Roman"/>
                <w:b/>
                <w:color w:val="FFFFFF"/>
                <w:sz w:val="20"/>
              </w:rPr>
              <w:t>Monto (RD$)</w:t>
            </w:r>
          </w:p>
        </w:tc>
        <w:tc>
          <w:tcPr>
            <w:tcW w:type="dxa" w:w="567"/>
            <w:shd w:fill="003366" w:val="clear"/>
          </w:tcPr>
          <w:p>
            <w:pPr>
              <w:jc w:val="center"/>
            </w:pPr>
            <w:r/>
            <w:r>
              <w:rPr>
                <w:rFonts w:ascii="Times New Roman" w:hAnsi="Times New Roman"/>
                <w:b/>
                <w:color w:val="FFFFFF"/>
                <w:sz w:val="20"/>
              </w:rPr>
              <w:t>%</w:t>
            </w:r>
          </w:p>
        </w:tc>
        <w:tc>
          <w:tcPr>
            <w:tcW w:type="dxa" w:w="4252"/>
            <w:shd w:fill="003366" w:val="clear"/>
          </w:tcPr>
          <w:p>
            <w:pPr>
              <w:jc w:val="center"/>
            </w:pPr>
            <w:r/>
            <w:r>
              <w:rPr>
                <w:rFonts w:ascii="Times New Roman" w:hAnsi="Times New Roman"/>
                <w:b/>
                <w:color w:val="FFFFFF"/>
                <w:sz w:val="20"/>
              </w:rPr>
              <w:t>Observaciones</w:t>
            </w:r>
          </w:p>
        </w:tc>
      </w:tr>
      <w:tr>
        <w:tc>
          <w:tcPr>
            <w:tcW w:type="dxa" w:w="3118"/>
          </w:tcPr>
          <w:p>
            <w:r/>
            <w:r>
              <w:rPr>
                <w:rFonts w:ascii="Times New Roman" w:hAnsi="Times New Roman"/>
                <w:b/>
                <w:sz w:val="20"/>
              </w:rPr>
              <w:t>1. BID / PNUD (prestamo o cooperacion tecnica no reembolsable)</w:t>
            </w:r>
          </w:p>
        </w:tc>
        <w:tc>
          <w:tcPr>
            <w:tcW w:type="dxa" w:w="1417"/>
          </w:tcPr>
          <w:p>
            <w:r/>
            <w:r>
              <w:rPr>
                <w:rFonts w:ascii="Times New Roman" w:hAnsi="Times New Roman"/>
                <w:sz w:val="20"/>
              </w:rPr>
              <w:t>77,070,000</w:t>
            </w:r>
          </w:p>
        </w:tc>
        <w:tc>
          <w:tcPr>
            <w:tcW w:type="dxa" w:w="567"/>
          </w:tcPr>
          <w:p>
            <w:r/>
            <w:r>
              <w:rPr>
                <w:rFonts w:ascii="Times New Roman" w:hAnsi="Times New Roman"/>
                <w:sz w:val="20"/>
              </w:rPr>
              <w:t>70%</w:t>
            </w:r>
          </w:p>
        </w:tc>
        <w:tc>
          <w:tcPr>
            <w:tcW w:type="dxa" w:w="4252"/>
          </w:tcPr>
          <w:p>
            <w:r/>
            <w:r>
              <w:rPr>
                <w:rFonts w:ascii="Times New Roman" w:hAnsi="Times New Roman"/>
                <w:sz w:val="20"/>
              </w:rPr>
              <w:t>Negociacion: fondo reembolsable (BID) o no reembolsable (PNUD). Ventana de genero y desarrollo social.</w:t>
            </w:r>
          </w:p>
        </w:tc>
      </w:tr>
      <w:tr>
        <w:tc>
          <w:tcPr>
            <w:tcW w:type="dxa" w:w="3118"/>
          </w:tcPr>
          <w:p>
            <w:r/>
            <w:r>
              <w:rPr>
                <w:rFonts w:ascii="Times New Roman" w:hAnsi="Times New Roman"/>
                <w:b/>
                <w:sz w:val="20"/>
              </w:rPr>
              <w:t>2. Gobierno de Republica Dominicana (contrapartida nacional)</w:t>
            </w:r>
          </w:p>
        </w:tc>
        <w:tc>
          <w:tcPr>
            <w:tcW w:type="dxa" w:w="1417"/>
          </w:tcPr>
          <w:p>
            <w:r/>
            <w:r>
              <w:rPr>
                <w:rFonts w:ascii="Times New Roman" w:hAnsi="Times New Roman"/>
                <w:sz w:val="20"/>
              </w:rPr>
              <w:t>19,818,000</w:t>
            </w:r>
          </w:p>
        </w:tc>
        <w:tc>
          <w:tcPr>
            <w:tcW w:type="dxa" w:w="567"/>
          </w:tcPr>
          <w:p>
            <w:r/>
            <w:r>
              <w:rPr>
                <w:rFonts w:ascii="Times New Roman" w:hAnsi="Times New Roman"/>
                <w:sz w:val="20"/>
              </w:rPr>
              <w:t>18%</w:t>
            </w:r>
          </w:p>
        </w:tc>
        <w:tc>
          <w:tcPr>
            <w:tcW w:type="dxa" w:w="4252"/>
          </w:tcPr>
          <w:p>
            <w:r/>
            <w:r>
              <w:rPr>
                <w:rFonts w:ascii="Times New Roman" w:hAnsi="Times New Roman"/>
                <w:sz w:val="20"/>
              </w:rPr>
              <w:t>Aportes de Superate, Ministerio de la Mujer, INFOTEP (instructores, certificaciones), MEPyD, MICM.</w:t>
            </w:r>
          </w:p>
        </w:tc>
      </w:tr>
      <w:tr>
        <w:tc>
          <w:tcPr>
            <w:tcW w:type="dxa" w:w="3118"/>
          </w:tcPr>
          <w:p>
            <w:r/>
            <w:r>
              <w:rPr>
                <w:rFonts w:ascii="Times New Roman" w:hAnsi="Times New Roman"/>
                <w:b/>
                <w:sz w:val="20"/>
              </w:rPr>
              <w:t>3. Sector privado y Responsabilidad Social Empresarial</w:t>
            </w:r>
          </w:p>
        </w:tc>
        <w:tc>
          <w:tcPr>
            <w:tcW w:type="dxa" w:w="1417"/>
          </w:tcPr>
          <w:p>
            <w:r/>
            <w:r>
              <w:rPr>
                <w:rFonts w:ascii="Times New Roman" w:hAnsi="Times New Roman"/>
                <w:sz w:val="20"/>
              </w:rPr>
              <w:t>8,808,000</w:t>
            </w:r>
          </w:p>
        </w:tc>
        <w:tc>
          <w:tcPr>
            <w:tcW w:type="dxa" w:w="567"/>
          </w:tcPr>
          <w:p>
            <w:r/>
            <w:r>
              <w:rPr>
                <w:rFonts w:ascii="Times New Roman" w:hAnsi="Times New Roman"/>
                <w:sz w:val="20"/>
              </w:rPr>
              <w:t>8%</w:t>
            </w:r>
          </w:p>
        </w:tc>
        <w:tc>
          <w:tcPr>
            <w:tcW w:type="dxa" w:w="4252"/>
          </w:tcPr>
          <w:p>
            <w:r/>
            <w:r>
              <w:rPr>
                <w:rFonts w:ascii="Times New Roman" w:hAnsi="Times New Roman"/>
                <w:sz w:val="20"/>
              </w:rPr>
              <w:t>Donaciones en equipos y materiales. Amparado en Ley 1-12 sobre RSE (exencion del 100% del ISR para donaciones a proyectos sociales certificados).</w:t>
            </w:r>
          </w:p>
        </w:tc>
      </w:tr>
      <w:tr>
        <w:tc>
          <w:tcPr>
            <w:tcW w:type="dxa" w:w="3118"/>
          </w:tcPr>
          <w:p>
            <w:r/>
            <w:r>
              <w:rPr>
                <w:rFonts w:ascii="Times New Roman" w:hAnsi="Times New Roman"/>
                <w:b/>
                <w:sz w:val="20"/>
              </w:rPr>
              <w:t>4. Aportes en especie</w:t>
            </w:r>
          </w:p>
        </w:tc>
        <w:tc>
          <w:tcPr>
            <w:tcW w:type="dxa" w:w="1417"/>
          </w:tcPr>
          <w:p>
            <w:r/>
            <w:r>
              <w:rPr>
                <w:rFonts w:ascii="Times New Roman" w:hAnsi="Times New Roman"/>
                <w:sz w:val="20"/>
              </w:rPr>
              <w:t>4,404,000</w:t>
            </w:r>
          </w:p>
        </w:tc>
        <w:tc>
          <w:tcPr>
            <w:tcW w:type="dxa" w:w="567"/>
          </w:tcPr>
          <w:p>
            <w:r/>
            <w:r>
              <w:rPr>
                <w:rFonts w:ascii="Times New Roman" w:hAnsi="Times New Roman"/>
                <w:sz w:val="20"/>
              </w:rPr>
              <w:t>4%</w:t>
            </w:r>
          </w:p>
        </w:tc>
        <w:tc>
          <w:tcPr>
            <w:tcW w:type="dxa" w:w="4252"/>
          </w:tcPr>
          <w:p>
            <w:r/>
            <w:r>
              <w:rPr>
                <w:rFonts w:ascii="Times New Roman" w:hAnsi="Times New Roman"/>
                <w:sz w:val="20"/>
              </w:rPr>
              <w:t>Cesion de terreno por parte del Ayuntamiento de Santo Domingo o el Gobierno Central. Instructores INFOTEP. Voluntariado corporativo.</w:t>
            </w:r>
          </w:p>
        </w:tc>
      </w:tr>
      <w:tr>
        <w:tc>
          <w:tcPr>
            <w:tcW w:type="dxa" w:w="3118"/>
          </w:tcPr>
          <w:p>
            <w:r/>
            <w:r>
              <w:rPr>
                <w:rFonts w:ascii="Times New Roman" w:hAnsi="Times New Roman"/>
                <w:b/>
                <w:sz w:val="20"/>
              </w:rPr>
              <w:t>TOTAL</w:t>
            </w:r>
          </w:p>
        </w:tc>
        <w:tc>
          <w:tcPr>
            <w:tcW w:type="dxa" w:w="1417"/>
          </w:tcPr>
          <w:p>
            <w:r/>
            <w:r>
              <w:rPr>
                <w:rFonts w:ascii="Times New Roman" w:hAnsi="Times New Roman"/>
                <w:sz w:val="20"/>
              </w:rPr>
              <w:t>110,100,000</w:t>
            </w:r>
          </w:p>
        </w:tc>
        <w:tc>
          <w:tcPr>
            <w:tcW w:type="dxa" w:w="567"/>
          </w:tcPr>
          <w:p>
            <w:r/>
            <w:r>
              <w:rPr>
                <w:rFonts w:ascii="Times New Roman" w:hAnsi="Times New Roman"/>
                <w:sz w:val="20"/>
              </w:rPr>
              <w:t>100%</w:t>
            </w:r>
          </w:p>
        </w:tc>
        <w:tc>
          <w:tcPr>
            <w:tcW w:type="dxa" w:w="4252"/>
          </w:tcPr>
          <w:p>
            <w:r/>
            <w:r>
              <w:rPr>
                <w:rFonts w:ascii="Times New Roman" w:hAnsi="Times New Roman"/>
                <w:sz w:val="20"/>
              </w:rPr>
            </w:r>
          </w:p>
        </w:tc>
      </w:tr>
    </w:tbl>
    <w:p>
      <w:r>
        <w:rPr>
          <w:rFonts w:ascii="Times New Roman" w:hAnsi="Times New Roman"/>
          <w:b w:val="0"/>
          <w:i w:val="0"/>
          <w:sz w:val="8"/>
        </w:rPr>
      </w:r>
    </w:p>
    <w:p>
      <w:r>
        <w:rPr>
          <w:rFonts w:ascii="Times New Roman" w:hAnsi="Times New Roman"/>
          <w:b/>
          <w:i w:val="0"/>
          <w:sz w:val="24"/>
        </w:rPr>
        <w:t>Recomendacion de Modalidad:</w:t>
      </w:r>
    </w:p>
    <w:p>
      <w:pPr>
        <w:jc w:val="both"/>
      </w:pPr>
      <w:r>
        <w:rPr>
          <w:rFonts w:ascii="Times New Roman" w:hAnsi="Times New Roman"/>
          <w:b w:val="0"/>
          <w:i w:val="0"/>
          <w:sz w:val="24"/>
        </w:rPr>
        <w:t>Se recomienda la modalidad de cooperacion tecnica no reembolsable del BID (ventana de genero y desarrollo social) o el financiamiento del PNUD bajo modalidad NIM (National Implementation Modality), donde el gobierno dominicano ejecuta el proyecto con supervision del organismo internacional. Esta modalidad ha sido exitosamente utilizada en proyectos similares de capacitacion laboral femenina en America Latina (BID, 2018-2023).</w:t>
      </w:r>
    </w:p>
    <w:p>
      <w:pPr>
        <w:pStyle w:val="Heading1"/>
      </w:pPr>
      <w:r>
        <w:rPr>
          <w:rFonts w:ascii="Times New Roman" w:hAnsi="Times New Roman"/>
        </w:rPr>
        <w:t>9. CRONOGRAMA DE EJECUCION</w:t>
      </w:r>
    </w:p>
    <w:p>
      <w:pPr>
        <w:jc w:val="both"/>
      </w:pPr>
      <w:r>
        <w:rPr>
          <w:rFonts w:ascii="Times New Roman" w:hAnsi="Times New Roman"/>
          <w:b w:val="0"/>
          <w:i w:val="0"/>
          <w:sz w:val="24"/>
        </w:rPr>
        <w:t>El cronograma presentado a continuacion sigue la estructura de hitos (milestones) del BID y la planificacion multianual del PNUD. Se organiza en 5 anos con 3 fases principales: pre-operacion, operacion plena y cierre.</w:t>
      </w:r>
    </w:p>
    <w:p>
      <w:r>
        <w:rPr>
          <w:rFonts w:ascii="Times New Roman" w:hAnsi="Times New Roman"/>
          <w:b w:val="0"/>
          <w:i w:val="0"/>
          <w:sz w:val="8"/>
        </w:rPr>
      </w:r>
    </w:p>
    <w:p>
      <w:pPr>
        <w:jc w:val="center"/>
      </w:pPr>
      <w:r>
        <w:rPr>
          <w:rFonts w:ascii="Times New Roman" w:hAnsi="Times New Roman"/>
          <w:b/>
          <w:i w:val="0"/>
          <w:sz w:val="20"/>
        </w:rPr>
        <w:t>Cronograma General — Hitos Principales</w:t>
      </w:r>
    </w:p>
    <w:tbl>
      <w:tblPr>
        <w:tblStyle w:val="TableGrid"/>
        <w:tblW w:type="auto" w:w="0"/>
        <w:jc w:val="center"/>
        <w:tblLook w:firstColumn="1" w:firstRow="1" w:lastColumn="0" w:lastRow="0" w:noHBand="0" w:noVBand="1" w:val="04A0"/>
      </w:tblPr>
      <w:tblGrid>
        <w:gridCol w:w="2999"/>
        <w:gridCol w:w="2999"/>
        <w:gridCol w:w="2999"/>
      </w:tblGrid>
      <w:tr>
        <w:tc>
          <w:tcPr>
            <w:tcW w:type="dxa" w:w="1134"/>
            <w:shd w:fill="003366" w:val="clear"/>
          </w:tcPr>
          <w:p>
            <w:pPr>
              <w:jc w:val="center"/>
            </w:pPr>
            <w:r/>
            <w:r>
              <w:rPr>
                <w:rFonts w:ascii="Times New Roman" w:hAnsi="Times New Roman"/>
                <w:b/>
                <w:color w:val="FFFFFF"/>
                <w:sz w:val="20"/>
              </w:rPr>
              <w:t>Periodo</w:t>
            </w:r>
          </w:p>
        </w:tc>
        <w:tc>
          <w:tcPr>
            <w:tcW w:type="dxa" w:w="1701"/>
            <w:shd w:fill="003366" w:val="clear"/>
          </w:tcPr>
          <w:p>
            <w:pPr>
              <w:jc w:val="center"/>
            </w:pPr>
            <w:r/>
            <w:r>
              <w:rPr>
                <w:rFonts w:ascii="Times New Roman" w:hAnsi="Times New Roman"/>
                <w:b/>
                <w:color w:val="FFFFFF"/>
                <w:sz w:val="20"/>
              </w:rPr>
              <w:t>Fase</w:t>
            </w:r>
          </w:p>
        </w:tc>
        <w:tc>
          <w:tcPr>
            <w:tcW w:type="dxa" w:w="6520"/>
            <w:shd w:fill="003366" w:val="clear"/>
          </w:tcPr>
          <w:p>
            <w:pPr>
              <w:jc w:val="center"/>
            </w:pPr>
            <w:r/>
            <w:r>
              <w:rPr>
                <w:rFonts w:ascii="Times New Roman" w:hAnsi="Times New Roman"/>
                <w:b/>
                <w:color w:val="FFFFFF"/>
                <w:sz w:val="20"/>
              </w:rPr>
              <w:t>Actividades Principales</w:t>
            </w:r>
          </w:p>
        </w:tc>
      </w:tr>
      <w:tr>
        <w:tc>
          <w:tcPr>
            <w:tcW w:type="dxa" w:w="1134"/>
          </w:tcPr>
          <w:p>
            <w:r/>
            <w:r>
              <w:rPr>
                <w:rFonts w:ascii="Times New Roman" w:hAnsi="Times New Roman"/>
                <w:b/>
                <w:sz w:val="20"/>
              </w:rPr>
              <w:t>Ano 1</w:t>
            </w:r>
          </w:p>
        </w:tc>
        <w:tc>
          <w:tcPr>
            <w:tcW w:type="dxa" w:w="1701"/>
          </w:tcPr>
          <w:p>
            <w:r/>
            <w:r>
              <w:rPr>
                <w:rFonts w:ascii="Times New Roman" w:hAnsi="Times New Roman"/>
                <w:sz w:val="20"/>
              </w:rPr>
              <w:t>Pre-operacion + inicio</w:t>
            </w:r>
          </w:p>
        </w:tc>
        <w:tc>
          <w:tcPr>
            <w:tcW w:type="dxa" w:w="6520"/>
          </w:tcPr>
          <w:p>
            <w:r/>
            <w:r>
              <w:rPr>
                <w:rFonts w:ascii="Times New Roman" w:hAnsi="Times New Roman"/>
                <w:sz w:val="20"/>
              </w:rPr>
              <w:t>Diseno arquitectonico; adecuacion/construccion; equipamiento inicial; contratacion de personal clave; diseno curricular con INFOTEP; apertura de convocatoria; seleccion de primera cohorte; instalacion de la UEP.</w:t>
            </w:r>
          </w:p>
        </w:tc>
      </w:tr>
      <w:tr>
        <w:tc>
          <w:tcPr>
            <w:tcW w:type="dxa" w:w="1134"/>
          </w:tcPr>
          <w:p>
            <w:r/>
            <w:r>
              <w:rPr>
                <w:rFonts w:ascii="Times New Roman" w:hAnsi="Times New Roman"/>
                <w:b/>
                <w:sz w:val="20"/>
              </w:rPr>
              <w:t>Ano 2</w:t>
            </w:r>
          </w:p>
        </w:tc>
        <w:tc>
          <w:tcPr>
            <w:tcW w:type="dxa" w:w="1701"/>
          </w:tcPr>
          <w:p>
            <w:r/>
            <w:r>
              <w:rPr>
                <w:rFonts w:ascii="Times New Roman" w:hAnsi="Times New Roman"/>
                <w:sz w:val="20"/>
              </w:rPr>
              <w:t>Operacion plena</w:t>
            </w:r>
          </w:p>
        </w:tc>
        <w:tc>
          <w:tcPr>
            <w:tcW w:type="dxa" w:w="6520"/>
          </w:tcPr>
          <w:p>
            <w:r/>
            <w:r>
              <w:rPr>
                <w:rFonts w:ascii="Times New Roman" w:hAnsi="Times New Roman"/>
                <w:sz w:val="20"/>
              </w:rPr>
              <w:t>Tres ciclos de formacion (100-150 madres por ciclo); inicio operacion guarderia y dispensario; primera entrega de capital semilla; inicio acompanamiento empresarial; evaluacion de proceso.</w:t>
            </w:r>
          </w:p>
        </w:tc>
      </w:tr>
      <w:tr>
        <w:tc>
          <w:tcPr>
            <w:tcW w:type="dxa" w:w="1134"/>
          </w:tcPr>
          <w:p>
            <w:r/>
            <w:r>
              <w:rPr>
                <w:rFonts w:ascii="Times New Roman" w:hAnsi="Times New Roman"/>
                <w:b/>
                <w:sz w:val="20"/>
              </w:rPr>
              <w:t>Ano 3</w:t>
            </w:r>
          </w:p>
        </w:tc>
        <w:tc>
          <w:tcPr>
            <w:tcW w:type="dxa" w:w="1701"/>
          </w:tcPr>
          <w:p>
            <w:r/>
            <w:r>
              <w:rPr>
                <w:rFonts w:ascii="Times New Roman" w:hAnsi="Times New Roman"/>
                <w:sz w:val="20"/>
              </w:rPr>
              <w:t>Consolidacion</w:t>
            </w:r>
          </w:p>
        </w:tc>
        <w:tc>
          <w:tcPr>
            <w:tcW w:type="dxa" w:w="6520"/>
          </w:tcPr>
          <w:p>
            <w:r/>
            <w:r>
              <w:rPr>
                <w:rFonts w:ascii="Times New Roman" w:hAnsi="Times New Roman"/>
                <w:sz w:val="20"/>
              </w:rPr>
              <w:t>Operacion continua; segundo ciclo de capital semilla; evaluacion intermedia de impacto; ajustes curriculares; refuerzo del acompanamiento; sistematizacion de lecciones aprendidas; inicio fondo rotatorio.</w:t>
            </w:r>
          </w:p>
        </w:tc>
      </w:tr>
      <w:tr>
        <w:tc>
          <w:tcPr>
            <w:tcW w:type="dxa" w:w="1134"/>
          </w:tcPr>
          <w:p>
            <w:r/>
            <w:r>
              <w:rPr>
                <w:rFonts w:ascii="Times New Roman" w:hAnsi="Times New Roman"/>
                <w:b/>
                <w:sz w:val="20"/>
              </w:rPr>
              <w:t>Ano 4</w:t>
            </w:r>
          </w:p>
        </w:tc>
        <w:tc>
          <w:tcPr>
            <w:tcW w:type="dxa" w:w="1701"/>
          </w:tcPr>
          <w:p>
            <w:r/>
            <w:r>
              <w:rPr>
                <w:rFonts w:ascii="Times New Roman" w:hAnsi="Times New Roman"/>
                <w:sz w:val="20"/>
              </w:rPr>
              <w:t>Escalamiento</w:t>
            </w:r>
          </w:p>
        </w:tc>
        <w:tc>
          <w:tcPr>
            <w:tcW w:type="dxa" w:w="6520"/>
          </w:tcPr>
          <w:p>
            <w:r/>
            <w:r>
              <w:rPr>
                <w:rFonts w:ascii="Times New Roman" w:hAnsi="Times New Roman"/>
                <w:sz w:val="20"/>
              </w:rPr>
              <w:t>Operacion consolidada; preparacion del manual de replicacion; gestion de nuevas alianzas; incidencia politica para escalamiento; evaluacion de sostenibilidad financiera.</w:t>
            </w:r>
          </w:p>
        </w:tc>
      </w:tr>
      <w:tr>
        <w:tc>
          <w:tcPr>
            <w:tcW w:type="dxa" w:w="1134"/>
          </w:tcPr>
          <w:p>
            <w:r/>
            <w:r>
              <w:rPr>
                <w:rFonts w:ascii="Times New Roman" w:hAnsi="Times New Roman"/>
                <w:b/>
                <w:sz w:val="20"/>
              </w:rPr>
              <w:t>Ano 5</w:t>
            </w:r>
          </w:p>
        </w:tc>
        <w:tc>
          <w:tcPr>
            <w:tcW w:type="dxa" w:w="1701"/>
          </w:tcPr>
          <w:p>
            <w:r/>
            <w:r>
              <w:rPr>
                <w:rFonts w:ascii="Times New Roman" w:hAnsi="Times New Roman"/>
                <w:sz w:val="20"/>
              </w:rPr>
              <w:t>Cierre y transferencia</w:t>
            </w:r>
          </w:p>
        </w:tc>
        <w:tc>
          <w:tcPr>
            <w:tcW w:type="dxa" w:w="6520"/>
          </w:tcPr>
          <w:p>
            <w:r/>
            <w:r>
              <w:rPr>
                <w:rFonts w:ascii="Times New Roman" w:hAnsi="Times New Roman"/>
                <w:sz w:val="20"/>
              </w:rPr>
              <w:t>Evaluacion final de impacto; transferencia del modelo a entidad publica; cierre administrativo y financiero; publicacion de resultados; presentacion de recomendaciones de politica publica.</w:t>
            </w:r>
          </w:p>
        </w:tc>
      </w:tr>
    </w:tbl>
    <w:p>
      <w:r>
        <w:br w:type="page"/>
      </w:r>
    </w:p>
    <w:p>
      <w:pPr>
        <w:pStyle w:val="Heading1"/>
      </w:pPr>
      <w:r>
        <w:rPr>
          <w:rFonts w:ascii="Times New Roman" w:hAnsi="Times New Roman"/>
        </w:rPr>
        <w:t>10. ARREGLOS DE IMPLEMENTACION Y GOBERNANZA</w:t>
      </w:r>
    </w:p>
    <w:p>
      <w:pPr>
        <w:jc w:val="both"/>
      </w:pPr>
      <w:r>
        <w:rPr>
          <w:rFonts w:ascii="Times New Roman" w:hAnsi="Times New Roman"/>
          <w:b w:val="0"/>
          <w:i w:val="0"/>
          <w:sz w:val="24"/>
        </w:rPr>
        <w:t>La estructura de implementacion del proyecto sigue el modelo NIM (National Implementation Modality) del PNUD, adaptado a los requerimientos del BID. Este modelo ha sido seleccionado por su idoneidad para proyectos de fortalecimiento institucional y transferencia de capacidades al Estado dominicano.</w:t>
      </w:r>
    </w:p>
    <w:p>
      <w:r>
        <w:rPr>
          <w:rFonts w:ascii="Times New Roman" w:hAnsi="Times New Roman"/>
          <w:b/>
          <w:i w:val="0"/>
          <w:color w:val="003366"/>
          <w:sz w:val="24"/>
        </w:rPr>
        <w:t>Estructura de Gobernanza:</w:t>
      </w:r>
    </w:p>
    <w:p>
      <w:r>
        <w:rPr>
          <w:rFonts w:ascii="Times New Roman" w:hAnsi="Times New Roman"/>
          <w:b w:val="0"/>
          <w:i w:val="0"/>
          <w:sz w:val="4"/>
        </w:rPr>
      </w:r>
    </w:p>
    <w:p>
      <w:r>
        <w:rPr>
          <w:rFonts w:ascii="Times New Roman" w:hAnsi="Times New Roman"/>
          <w:b/>
          <w:i w:val="0"/>
          <w:sz w:val="22"/>
        </w:rPr>
        <w:t>Unidad Ejecutora del Proyecto (UEP):</w:t>
      </w:r>
    </w:p>
    <w:p>
      <w:pPr>
        <w:pStyle w:val="ListBullet"/>
        <w:spacing w:line="360" w:lineRule="auto"/>
        <w:ind w:left="720"/>
      </w:pPr>
      <w:r>
        <w:rPr>
          <w:rFonts w:ascii="Times New Roman" w:hAnsi="Times New Roman"/>
          <w:sz w:val="24"/>
        </w:rPr>
        <w:t>Dependiente de la entidad ejecutora designada (se propone Superate o el MEPyD como entidad con mayor capacidad de articulacion interinstitucional)</w:t>
      </w:r>
    </w:p>
    <w:p>
      <w:pPr>
        <w:pStyle w:val="ListBullet"/>
        <w:spacing w:line="360" w:lineRule="auto"/>
        <w:ind w:left="720"/>
      </w:pPr>
      <w:r>
        <w:rPr>
          <w:rFonts w:ascii="Times New Roman" w:hAnsi="Times New Roman"/>
          <w:sz w:val="24"/>
        </w:rPr>
        <w:t>Responsable de la gestion administrativa, financiera, operativa y de monitoreo del proyecto</w:t>
      </w:r>
    </w:p>
    <w:p>
      <w:pPr>
        <w:pStyle w:val="ListBullet"/>
        <w:spacing w:line="360" w:lineRule="auto"/>
        <w:ind w:left="720"/>
      </w:pPr>
      <w:r>
        <w:rPr>
          <w:rFonts w:ascii="Times New Roman" w:hAnsi="Times New Roman"/>
          <w:sz w:val="24"/>
        </w:rPr>
        <w:t>Estructura minima: Director/a del proyecto, Coordinador/a Tecnico, Coordinador/a Administrativo-Financiero, Especialista en M&amp;E, Especialista en Genero, Asistente Administrativo</w:t>
      </w:r>
    </w:p>
    <w:p>
      <w:pPr>
        <w:pStyle w:val="ListBullet"/>
        <w:spacing w:line="360" w:lineRule="auto"/>
        <w:ind w:left="720"/>
      </w:pPr>
      <w:r>
        <w:rPr>
          <w:rFonts w:ascii="Times New Roman" w:hAnsi="Times New Roman"/>
          <w:sz w:val="24"/>
        </w:rPr>
        <w:t>Reporta tecnicamente al Comite Tecnico y financieramente al organismo cooperante (BID/PNUD)</w:t>
      </w:r>
    </w:p>
    <w:p>
      <w:r>
        <w:rPr>
          <w:rFonts w:ascii="Times New Roman" w:hAnsi="Times New Roman"/>
          <w:b/>
          <w:i w:val="0"/>
          <w:sz w:val="22"/>
        </w:rPr>
        <w:t>Comite Tecnico Interinstitucional:</w:t>
      </w:r>
    </w:p>
    <w:p>
      <w:pPr>
        <w:pStyle w:val="ListBullet"/>
        <w:spacing w:line="360" w:lineRule="auto"/>
        <w:ind w:left="720"/>
      </w:pPr>
      <w:r>
        <w:rPr>
          <w:rFonts w:ascii="Times New Roman" w:hAnsi="Times New Roman"/>
          <w:sz w:val="24"/>
        </w:rPr>
        <w:t>Integrado por representantes con capacidad de decision de: Superate, Ministerio de la Mujer, INFOTEP, MICM, MEPyD, y la entidad financiadora (BID/PNUD)</w:t>
      </w:r>
    </w:p>
    <w:p>
      <w:pPr>
        <w:pStyle w:val="ListBullet"/>
        <w:spacing w:line="360" w:lineRule="auto"/>
        <w:ind w:left="720"/>
      </w:pPr>
      <w:r>
        <w:rPr>
          <w:rFonts w:ascii="Times New Roman" w:hAnsi="Times New Roman"/>
          <w:sz w:val="24"/>
        </w:rPr>
        <w:t>Funciones: supervision estrategica, aprobacion de planes operativos anuales, resolucion de controversias, validacion de informes</w:t>
      </w:r>
    </w:p>
    <w:p>
      <w:pPr>
        <w:pStyle w:val="ListBullet"/>
        <w:spacing w:line="360" w:lineRule="auto"/>
        <w:ind w:left="720"/>
      </w:pPr>
      <w:r>
        <w:rPr>
          <w:rFonts w:ascii="Times New Roman" w:hAnsi="Times New Roman"/>
          <w:sz w:val="24"/>
        </w:rPr>
        <w:t>Reuniones ordinarias: trimestrales. Reuniones extraordinarias: convocadas por la UEP o por dos o mas miembros</w:t>
      </w:r>
    </w:p>
    <w:p>
      <w:r>
        <w:rPr>
          <w:rFonts w:ascii="Times New Roman" w:hAnsi="Times New Roman"/>
          <w:b/>
          <w:i w:val="0"/>
          <w:sz w:val="22"/>
        </w:rPr>
        <w:t>Operador Tecnico del Centro:</w:t>
      </w:r>
    </w:p>
    <w:p>
      <w:pPr>
        <w:pStyle w:val="ListBullet"/>
        <w:spacing w:line="360" w:lineRule="auto"/>
        <w:ind w:left="720"/>
      </w:pPr>
      <w:r>
        <w:rPr>
          <w:rFonts w:ascii="Times New Roman" w:hAnsi="Times New Roman"/>
          <w:sz w:val="24"/>
        </w:rPr>
        <w:t>Entidad especializada (OSC, fundacion o consorcio) contratada mediante licitacion publica nacional o internacional</w:t>
      </w:r>
    </w:p>
    <w:p>
      <w:pPr>
        <w:pStyle w:val="ListBullet"/>
        <w:spacing w:line="360" w:lineRule="auto"/>
        <w:ind w:left="720"/>
      </w:pPr>
      <w:r>
        <w:rPr>
          <w:rFonts w:ascii="Times New Roman" w:hAnsi="Times New Roman"/>
          <w:sz w:val="24"/>
        </w:rPr>
        <w:t>Responsable de la gestion operativa del centro: coordinacion academica, supervision de instructores, administracion de la guarderia y el dispensario, gestion del capital semilla</w:t>
      </w:r>
    </w:p>
    <w:p>
      <w:pPr>
        <w:pStyle w:val="ListBullet"/>
        <w:spacing w:line="360" w:lineRule="auto"/>
        <w:ind w:left="720"/>
      </w:pPr>
      <w:r>
        <w:rPr>
          <w:rFonts w:ascii="Times New Roman" w:hAnsi="Times New Roman"/>
          <w:sz w:val="24"/>
        </w:rPr>
        <w:t>Supervisada contractualmente por la UEP con informes mensuales de avance</w:t>
      </w:r>
    </w:p>
    <w:p>
      <w:r>
        <w:rPr>
          <w:rFonts w:ascii="Times New Roman" w:hAnsi="Times New Roman"/>
          <w:b/>
          <w:i w:val="0"/>
          <w:color w:val="003366"/>
          <w:sz w:val="24"/>
        </w:rPr>
        <w:t>Modalidad de Implementacion:</w:t>
      </w:r>
    </w:p>
    <w:p>
      <w:pPr>
        <w:jc w:val="both"/>
      </w:pPr>
      <w:r>
        <w:rPr>
          <w:rFonts w:ascii="Times New Roman" w:hAnsi="Times New Roman"/>
          <w:b w:val="0"/>
          <w:i w:val="0"/>
          <w:sz w:val="24"/>
        </w:rPr>
        <w:t>Se recomienda la modalidad NIM (National Implementation) del PNUD, donde la ejecucion es responsabilidad del gobierno nacional (a traves de la UEP) con supervision del organismo internacional. Esta modalidad:</w:t>
      </w:r>
    </w:p>
    <w:p>
      <w:pPr>
        <w:pStyle w:val="ListBullet"/>
        <w:spacing w:line="360" w:lineRule="auto"/>
        <w:ind w:left="720"/>
      </w:pPr>
      <w:r>
        <w:rPr>
          <w:rFonts w:ascii="Times New Roman" w:hAnsi="Times New Roman"/>
          <w:sz w:val="24"/>
        </w:rPr>
        <w:t>Fortalece las capacidades institucionales del Estado dominicano para gestionar proyectos sociales</w:t>
      </w:r>
    </w:p>
    <w:p>
      <w:pPr>
        <w:pStyle w:val="ListBullet"/>
        <w:spacing w:line="360" w:lineRule="auto"/>
        <w:ind w:left="720"/>
      </w:pPr>
      <w:r>
        <w:rPr>
          <w:rFonts w:ascii="Times New Roman" w:hAnsi="Times New Roman"/>
          <w:sz w:val="24"/>
        </w:rPr>
        <w:t>Facilita la transferencia del modelo al finalizar el periodo de financiamiento</w:t>
      </w:r>
    </w:p>
    <w:p>
      <w:pPr>
        <w:pStyle w:val="ListBullet"/>
        <w:spacing w:line="360" w:lineRule="auto"/>
        <w:ind w:left="720"/>
      </w:pPr>
      <w:r>
        <w:rPr>
          <w:rFonts w:ascii="Times New Roman" w:hAnsi="Times New Roman"/>
          <w:sz w:val="24"/>
        </w:rPr>
        <w:t>Reduce los costos de implementacion al utilizar estructuras administrativas existentes</w:t>
      </w:r>
    </w:p>
    <w:p>
      <w:pPr>
        <w:pStyle w:val="ListBullet"/>
        <w:spacing w:line="360" w:lineRule="auto"/>
        <w:ind w:left="720"/>
      </w:pPr>
      <w:r>
        <w:rPr>
          <w:rFonts w:ascii="Times New Roman" w:hAnsi="Times New Roman"/>
          <w:sz w:val="24"/>
        </w:rPr>
        <w:t>Es compatible con los requisitos de elegibilidad del BID para prestamos de inversion social</w:t>
      </w:r>
    </w:p>
    <w:p>
      <w:pPr>
        <w:jc w:val="both"/>
      </w:pPr>
      <w:r>
        <w:rPr>
          <w:rFonts w:ascii="Times New Roman" w:hAnsi="Times New Roman"/>
          <w:b w:val="0"/>
          <w:i w:val="0"/>
          <w:sz w:val="24"/>
        </w:rPr>
        <w:t>Alternativamente, la modalidad de Ejecucion Nacional del BID (con la UEP como entidad ejecutora y el BID como supervisor financiero) es igualmente viable y puede ser preferible si el financiamiento proviene exclusivamente del BID.</w:t>
      </w:r>
    </w:p>
    <w:p>
      <w:pPr>
        <w:pStyle w:val="Heading1"/>
      </w:pPr>
      <w:r>
        <w:rPr>
          <w:rFonts w:ascii="Times New Roman" w:hAnsi="Times New Roman"/>
        </w:rPr>
        <w:t>11. PLAN DE MONITOREO Y EVALUACION</w:t>
      </w:r>
    </w:p>
    <w:p>
      <w:pPr>
        <w:jc w:val="both"/>
      </w:pPr>
      <w:r>
        <w:rPr>
          <w:rFonts w:ascii="Times New Roman" w:hAnsi="Times New Roman"/>
          <w:b w:val="0"/>
          <w:i w:val="0"/>
          <w:sz w:val="24"/>
        </w:rPr>
        <w:t>El sistema de Monitoreo y Evaluacion (M&amp;E) del proyecto sigue los estandares del BID (Sistema de Gestion de Resultados — SGR) y del PNUD (POPP — Programme and Operations Policies and Procedures). El presupuesto asignado a M&amp;E es del 5% del total del proyecto, cumpliendo con el estandar minimo recomendado por ambas instituciones.</w:t>
      </w:r>
    </w:p>
    <w:p>
      <w:r>
        <w:rPr>
          <w:rFonts w:ascii="Times New Roman" w:hAnsi="Times New Roman"/>
          <w:b/>
          <w:i w:val="0"/>
          <w:color w:val="003366"/>
          <w:sz w:val="24"/>
        </w:rPr>
        <w:t>Niveles de Monitoreo:</w:t>
      </w:r>
    </w:p>
    <w:p>
      <w:r>
        <w:rPr>
          <w:rFonts w:ascii="Times New Roman" w:hAnsi="Times New Roman"/>
          <w:b w:val="0"/>
          <w:i w:val="0"/>
          <w:sz w:val="4"/>
        </w:rPr>
      </w:r>
    </w:p>
    <w:p>
      <w:r>
        <w:rPr>
          <w:rFonts w:ascii="Times New Roman" w:hAnsi="Times New Roman"/>
          <w:b/>
          <w:i w:val="0"/>
          <w:sz w:val="22"/>
        </w:rPr>
        <w:t>Monitoreo de Proceso (mensual):</w:t>
      </w:r>
    </w:p>
    <w:p>
      <w:pPr>
        <w:pStyle w:val="ListBullet"/>
        <w:spacing w:line="360" w:lineRule="auto"/>
        <w:ind w:left="720"/>
      </w:pPr>
      <w:r>
        <w:rPr>
          <w:rFonts w:ascii="Times New Roman" w:hAnsi="Times New Roman"/>
          <w:sz w:val="24"/>
        </w:rPr>
        <w:t>Indicadores: asistencia y desercion de participantes por disciplina, ninos atendidos en guarderia, atenciones medicas realizadas, ejecucion presupuestaria vs. programada, cumplimiento del cronograma</w:t>
      </w:r>
    </w:p>
    <w:p>
      <w:pPr>
        <w:pStyle w:val="ListBullet"/>
        <w:spacing w:line="360" w:lineRule="auto"/>
        <w:ind w:left="720"/>
      </w:pPr>
      <w:r>
        <w:rPr>
          <w:rFonts w:ascii="Times New Roman" w:hAnsi="Times New Roman"/>
          <w:sz w:val="24"/>
        </w:rPr>
        <w:t>Instrumento: dashboard digital en tiempo real alimentado por registros administrativos del centro</w:t>
      </w:r>
    </w:p>
    <w:p>
      <w:pPr>
        <w:pStyle w:val="ListBullet"/>
        <w:spacing w:line="360" w:lineRule="auto"/>
        <w:ind w:left="720"/>
      </w:pPr>
      <w:r>
        <w:rPr>
          <w:rFonts w:ascii="Times New Roman" w:hAnsi="Times New Roman"/>
          <w:sz w:val="24"/>
        </w:rPr>
        <w:t>Responsable: UEP, con reporte mensual al Comite Tecnico</w:t>
      </w:r>
    </w:p>
    <w:p>
      <w:r>
        <w:rPr>
          <w:rFonts w:ascii="Times New Roman" w:hAnsi="Times New Roman"/>
          <w:b/>
          <w:i w:val="0"/>
          <w:sz w:val="22"/>
        </w:rPr>
        <w:t>Evaluacion de Resultados (semestral y anual):</w:t>
      </w:r>
    </w:p>
    <w:p>
      <w:pPr>
        <w:pStyle w:val="ListBullet"/>
        <w:spacing w:line="360" w:lineRule="auto"/>
        <w:ind w:left="720"/>
      </w:pPr>
      <w:r>
        <w:rPr>
          <w:rFonts w:ascii="Times New Roman" w:hAnsi="Times New Roman"/>
          <w:sz w:val="24"/>
        </w:rPr>
        <w:t>Indicadores: tasa de certificacion por disciplina, emprendimientos formalizados y operando, nivel de satisfaccion de las participantes, ingreso promedio generado por las egresadas, tasa de retencion en el programa</w:t>
      </w:r>
    </w:p>
    <w:p>
      <w:pPr>
        <w:pStyle w:val="ListBullet"/>
        <w:spacing w:line="360" w:lineRule="auto"/>
        <w:ind w:left="720"/>
      </w:pPr>
      <w:r>
        <w:rPr>
          <w:rFonts w:ascii="Times New Roman" w:hAnsi="Times New Roman"/>
          <w:sz w:val="24"/>
        </w:rPr>
        <w:t>Instrumento: encuestas de satisfaccion, registros administrativos, base de datos de egresadas</w:t>
      </w:r>
    </w:p>
    <w:p>
      <w:pPr>
        <w:pStyle w:val="ListBullet"/>
        <w:spacing w:line="360" w:lineRule="auto"/>
        <w:ind w:left="720"/>
      </w:pPr>
      <w:r>
        <w:rPr>
          <w:rFonts w:ascii="Times New Roman" w:hAnsi="Times New Roman"/>
          <w:sz w:val="24"/>
        </w:rPr>
        <w:t>Responsable: UEP, con validacion externa anual</w:t>
      </w:r>
    </w:p>
    <w:p>
      <w:r>
        <w:rPr>
          <w:rFonts w:ascii="Times New Roman" w:hAnsi="Times New Roman"/>
          <w:b/>
          <w:i w:val="0"/>
          <w:sz w:val="22"/>
        </w:rPr>
        <w:t>Evaluacion de Impacto (ano 1, 3 y 5):</w:t>
      </w:r>
    </w:p>
    <w:p>
      <w:pPr>
        <w:pStyle w:val="ListBullet"/>
        <w:spacing w:line="360" w:lineRule="auto"/>
        <w:ind w:left="720"/>
      </w:pPr>
      <w:r>
        <w:rPr>
          <w:rFonts w:ascii="Times New Roman" w:hAnsi="Times New Roman"/>
          <w:sz w:val="24"/>
        </w:rPr>
        <w:t>Evaluacion de linea base (ano 1): contratada durante los primeros 6 meses de ejecucion. Diseno cuasi-experimental con grupo de comparacion. Muestra representativa estadisticamente significativa.</w:t>
      </w:r>
    </w:p>
    <w:p>
      <w:pPr>
        <w:pStyle w:val="ListBullet"/>
        <w:spacing w:line="360" w:lineRule="auto"/>
        <w:ind w:left="720"/>
      </w:pPr>
      <w:r>
        <w:rPr>
          <w:rFonts w:ascii="Times New Roman" w:hAnsi="Times New Roman"/>
          <w:sz w:val="24"/>
        </w:rPr>
        <w:t>Evaluacion intermedia (ano 3): medicion de cambio en ingresos, formalidad, bienestar infantil, empoderamiento. Identificacion de lecciones aprendidas y ajustes al modelo.</w:t>
      </w:r>
    </w:p>
    <w:p>
      <w:pPr>
        <w:pStyle w:val="ListBullet"/>
        <w:spacing w:line="360" w:lineRule="auto"/>
        <w:ind w:left="720"/>
      </w:pPr>
      <w:r>
        <w:rPr>
          <w:rFonts w:ascii="Times New Roman" w:hAnsi="Times New Roman"/>
          <w:sz w:val="24"/>
        </w:rPr>
        <w:t>Evaluacion final (ano 5): evaluacion de impacto con metodos mixtos (cuantitativo + cualitativo). Medicion de cambio en ingresos, formalidad empresarial, bienestar infantil, empoderamiento y autonomia economica. Incluye analisis de retorno social de la inversion (SROI).</w:t>
      </w:r>
    </w:p>
    <w:p>
      <w:pPr>
        <w:pStyle w:val="ListBullet"/>
        <w:spacing w:line="360" w:lineRule="auto"/>
        <w:ind w:left="720"/>
      </w:pPr>
      <w:r>
        <w:rPr>
          <w:rFonts w:ascii="Times New Roman" w:hAnsi="Times New Roman"/>
          <w:sz w:val="24"/>
        </w:rPr>
        <w:t>Todas las evaluaciones externas seran realizadas por consultoras independientes seleccionadas mediante licitacion publica, garantizando la objetividad y credibilidad de los resultados.</w:t>
      </w:r>
    </w:p>
    <w:p>
      <w:pPr>
        <w:pStyle w:val="Heading1"/>
      </w:pPr>
      <w:r>
        <w:rPr>
          <w:rFonts w:ascii="Times New Roman" w:hAnsi="Times New Roman"/>
        </w:rPr>
        <w:t>12. SALVAGUARDAS AMBIENTALES, SOCIALES Y DE GENERO</w:t>
      </w:r>
    </w:p>
    <w:p>
      <w:pPr>
        <w:jc w:val="both"/>
      </w:pPr>
      <w:r>
        <w:rPr>
          <w:rFonts w:ascii="Times New Roman" w:hAnsi="Times New Roman"/>
          <w:b w:val="0"/>
          <w:i w:val="0"/>
          <w:sz w:val="24"/>
        </w:rPr>
        <w:t>El proyecto cumple con las politicas de salvaguardas del BID y los Estandares Ambientales y Sociales (SES) del PNUD. Dado que se trata de un proyecto de desarrollo social sin impacto ambiental significativo, la evaluacion de salvaguardas se centra en los aspectos sociales y de genero.</w:t>
      </w:r>
    </w:p>
    <w:tbl>
      <w:tblPr>
        <w:tblStyle w:val="TableGrid"/>
        <w:tblW w:type="auto" w:w="0"/>
        <w:jc w:val="center"/>
        <w:tblLook w:firstColumn="1" w:firstRow="1" w:lastColumn="0" w:lastRow="0" w:noHBand="0" w:noVBand="1" w:val="04A0"/>
      </w:tblPr>
      <w:tblGrid>
        <w:gridCol w:w="2999"/>
        <w:gridCol w:w="2999"/>
        <w:gridCol w:w="2999"/>
      </w:tblGrid>
      <w:tr>
        <w:tc>
          <w:tcPr>
            <w:tcW w:type="dxa" w:w="2268"/>
            <w:shd w:fill="003366" w:val="clear"/>
          </w:tcPr>
          <w:p>
            <w:pPr>
              <w:jc w:val="center"/>
            </w:pPr>
            <w:r/>
            <w:r>
              <w:rPr>
                <w:rFonts w:ascii="Times New Roman" w:hAnsi="Times New Roman"/>
                <w:b/>
                <w:color w:val="FFFFFF"/>
                <w:sz w:val="20"/>
              </w:rPr>
              <w:t>Politica / Estandar</w:t>
            </w:r>
          </w:p>
        </w:tc>
        <w:tc>
          <w:tcPr>
            <w:tcW w:type="dxa" w:w="5669"/>
            <w:shd w:fill="003366" w:val="clear"/>
          </w:tcPr>
          <w:p>
            <w:pPr>
              <w:jc w:val="center"/>
            </w:pPr>
            <w:r/>
            <w:r>
              <w:rPr>
                <w:rFonts w:ascii="Times New Roman" w:hAnsi="Times New Roman"/>
                <w:b/>
                <w:color w:val="FFFFFF"/>
                <w:sz w:val="20"/>
              </w:rPr>
              <w:t>Medidas de Cumplimiento</w:t>
            </w:r>
          </w:p>
        </w:tc>
        <w:tc>
          <w:tcPr>
            <w:tcW w:type="dxa" w:w="1134"/>
            <w:shd w:fill="003366" w:val="clear"/>
          </w:tcPr>
          <w:p>
            <w:pPr>
              <w:jc w:val="center"/>
            </w:pPr>
            <w:r/>
            <w:r>
              <w:rPr>
                <w:rFonts w:ascii="Times New Roman" w:hAnsi="Times New Roman"/>
                <w:b/>
                <w:color w:val="FFFFFF"/>
                <w:sz w:val="20"/>
              </w:rPr>
              <w:t>Relevancia</w:t>
            </w:r>
          </w:p>
        </w:tc>
      </w:tr>
      <w:tr>
        <w:tc>
          <w:tcPr>
            <w:tcW w:type="dxa" w:w="2268"/>
          </w:tcPr>
          <w:p>
            <w:r/>
            <w:r>
              <w:rPr>
                <w:rFonts w:ascii="Times New Roman" w:hAnsi="Times New Roman"/>
                <w:b/>
                <w:sz w:val="20"/>
              </w:rPr>
              <w:t>BID OP-703 (Genero y Desarrollo)</w:t>
            </w:r>
          </w:p>
        </w:tc>
        <w:tc>
          <w:tcPr>
            <w:tcW w:type="dxa" w:w="5669"/>
          </w:tcPr>
          <w:p>
            <w:r/>
            <w:r>
              <w:rPr>
                <w:rFonts w:ascii="Times New Roman" w:hAnsi="Times New Roman"/>
                <w:sz w:val="20"/>
              </w:rPr>
              <w:t>Transversalizacion del enfoque de genero en todos los componentes del proyecto. Indicadores desagregados por sexo en todos los niveles del marco logico. Presupuesto sensible al genero. Capacitacion del personal en genero y derechos de las mujeres. Mecanismos de prevencion y atencion de violencia de genero en el centro.</w:t>
            </w:r>
          </w:p>
        </w:tc>
        <w:tc>
          <w:tcPr>
            <w:tcW w:type="dxa" w:w="1134"/>
          </w:tcPr>
          <w:p>
            <w:r/>
            <w:r>
              <w:rPr>
                <w:rFonts w:ascii="Times New Roman" w:hAnsi="Times New Roman"/>
                <w:sz w:val="20"/>
              </w:rPr>
              <w:t>Alta</w:t>
            </w:r>
          </w:p>
        </w:tc>
      </w:tr>
      <w:tr>
        <w:tc>
          <w:tcPr>
            <w:tcW w:type="dxa" w:w="2268"/>
          </w:tcPr>
          <w:p>
            <w:r/>
            <w:r>
              <w:rPr>
                <w:rFonts w:ascii="Times New Roman" w:hAnsi="Times New Roman"/>
                <w:b/>
                <w:sz w:val="20"/>
              </w:rPr>
              <w:t>BID OP-704 (Pueblos Indigenas)</w:t>
            </w:r>
          </w:p>
        </w:tc>
        <w:tc>
          <w:tcPr>
            <w:tcW w:type="dxa" w:w="5669"/>
          </w:tcPr>
          <w:p>
            <w:r/>
            <w:r>
              <w:rPr>
                <w:rFonts w:ascii="Times New Roman" w:hAnsi="Times New Roman"/>
                <w:sz w:val="20"/>
              </w:rPr>
              <w:t>Evaluacion de pertinencia para Santo Domingo (Distrito Nacional). Baja probabilidad de afectacion a pueblos indigenas en el contexto urbano de Santo Domingo. Se realizara el screening correspondiente segun el Marco de Policia Ambiental y Social del BID.</w:t>
            </w:r>
          </w:p>
        </w:tc>
        <w:tc>
          <w:tcPr>
            <w:tcW w:type="dxa" w:w="1134"/>
          </w:tcPr>
          <w:p>
            <w:r/>
            <w:r>
              <w:rPr>
                <w:rFonts w:ascii="Times New Roman" w:hAnsi="Times New Roman"/>
                <w:sz w:val="20"/>
              </w:rPr>
              <w:t>Baja</w:t>
            </w:r>
          </w:p>
        </w:tc>
      </w:tr>
      <w:tr>
        <w:tc>
          <w:tcPr>
            <w:tcW w:type="dxa" w:w="2268"/>
          </w:tcPr>
          <w:p>
            <w:r/>
            <w:r>
              <w:rPr>
                <w:rFonts w:ascii="Times New Roman" w:hAnsi="Times New Roman"/>
                <w:b/>
                <w:sz w:val="20"/>
              </w:rPr>
              <w:t>BID OP-710 (Reasentamiento Involuntario)</w:t>
            </w:r>
          </w:p>
        </w:tc>
        <w:tc>
          <w:tcPr>
            <w:tcW w:type="dxa" w:w="5669"/>
          </w:tcPr>
          <w:p>
            <w:r/>
            <w:r>
              <w:rPr>
                <w:rFonts w:ascii="Times New Roman" w:hAnsi="Times New Roman"/>
                <w:sz w:val="20"/>
              </w:rPr>
              <w:t>No aplica si el terreno es donado por el Estado o adquirido mediante compra directa sin desplazamiento de poblacion. Se verificara que el terreno seleccionado este libre de ocupantes previos.</w:t>
            </w:r>
          </w:p>
        </w:tc>
        <w:tc>
          <w:tcPr>
            <w:tcW w:type="dxa" w:w="1134"/>
          </w:tcPr>
          <w:p>
            <w:r/>
            <w:r>
              <w:rPr>
                <w:rFonts w:ascii="Times New Roman" w:hAnsi="Times New Roman"/>
                <w:sz w:val="20"/>
              </w:rPr>
              <w:t>N/A</w:t>
            </w:r>
          </w:p>
        </w:tc>
      </w:tr>
      <w:tr>
        <w:tc>
          <w:tcPr>
            <w:tcW w:type="dxa" w:w="2268"/>
          </w:tcPr>
          <w:p>
            <w:r/>
            <w:r>
              <w:rPr>
                <w:rFonts w:ascii="Times New Roman" w:hAnsi="Times New Roman"/>
                <w:b/>
                <w:sz w:val="20"/>
              </w:rPr>
              <w:t>PNUD SES Estandar 1 (Conservacion)</w:t>
            </w:r>
          </w:p>
        </w:tc>
        <w:tc>
          <w:tcPr>
            <w:tcW w:type="dxa" w:w="5669"/>
          </w:tcPr>
          <w:p>
            <w:r/>
            <w:r>
              <w:rPr>
                <w:rFonts w:ascii="Times New Roman" w:hAnsi="Times New Roman"/>
                <w:sz w:val="20"/>
              </w:rPr>
              <w:t>Evaluacion de riesgos ambientales menores durante la fase de construccion/adecuacion. Plan de gestion de residuos de construccion. Eficiencia energetica en el diseno del centro.</w:t>
            </w:r>
          </w:p>
        </w:tc>
        <w:tc>
          <w:tcPr>
            <w:tcW w:type="dxa" w:w="1134"/>
          </w:tcPr>
          <w:p>
            <w:r/>
            <w:r>
              <w:rPr>
                <w:rFonts w:ascii="Times New Roman" w:hAnsi="Times New Roman"/>
                <w:sz w:val="20"/>
              </w:rPr>
              <w:t>Baja</w:t>
            </w:r>
          </w:p>
        </w:tc>
      </w:tr>
      <w:tr>
        <w:tc>
          <w:tcPr>
            <w:tcW w:type="dxa" w:w="2268"/>
          </w:tcPr>
          <w:p>
            <w:r/>
            <w:r>
              <w:rPr>
                <w:rFonts w:ascii="Times New Roman" w:hAnsi="Times New Roman"/>
                <w:b/>
                <w:sz w:val="20"/>
              </w:rPr>
              <w:t>PNUD SES Estandar 7 (Genero)</w:t>
            </w:r>
          </w:p>
        </w:tc>
        <w:tc>
          <w:tcPr>
            <w:tcW w:type="dxa" w:w="5669"/>
          </w:tcPr>
          <w:p>
            <w:r/>
            <w:r>
              <w:rPr>
                <w:rFonts w:ascii="Times New Roman" w:hAnsi="Times New Roman"/>
                <w:sz w:val="20"/>
              </w:rPr>
              <w:t>Gender Marker: calificacion GEN3 (igualdad de genero como objetivo principal del proyecto). Analisis de genero en el diagnostico. Medidas de accion afirmativa. Componente de prevencion de violencia de genero. Participacion equitativa en la toma de decisiones.</w:t>
            </w:r>
          </w:p>
        </w:tc>
        <w:tc>
          <w:tcPr>
            <w:tcW w:type="dxa" w:w="1134"/>
          </w:tcPr>
          <w:p>
            <w:r/>
            <w:r>
              <w:rPr>
                <w:rFonts w:ascii="Times New Roman" w:hAnsi="Times New Roman"/>
                <w:sz w:val="20"/>
              </w:rPr>
              <w:t>Alta</w:t>
            </w:r>
          </w:p>
        </w:tc>
      </w:tr>
      <w:tr>
        <w:tc>
          <w:tcPr>
            <w:tcW w:type="dxa" w:w="2268"/>
          </w:tcPr>
          <w:p>
            <w:r/>
            <w:r>
              <w:rPr>
                <w:rFonts w:ascii="Times New Roman" w:hAnsi="Times New Roman"/>
                <w:b/>
                <w:sz w:val="20"/>
              </w:rPr>
              <w:t>Proteccion de NNA (ninos, ninas y adolescentes)</w:t>
            </w:r>
          </w:p>
        </w:tc>
        <w:tc>
          <w:tcPr>
            <w:tcW w:type="dxa" w:w="5669"/>
          </w:tcPr>
          <w:p>
            <w:r/>
            <w:r>
              <w:rPr>
                <w:rFonts w:ascii="Times New Roman" w:hAnsi="Times New Roman"/>
                <w:sz w:val="20"/>
              </w:rPr>
              <w:t>Protocolo de proteccion infantil obligatorio para todo el personal del centro. Verificacion de antecedentes penales del personal. Capacitacion en derechos de la ninez. Procedimientos de reporte obligatorio.</w:t>
            </w:r>
          </w:p>
        </w:tc>
        <w:tc>
          <w:tcPr>
            <w:tcW w:type="dxa" w:w="1134"/>
          </w:tcPr>
          <w:p>
            <w:r/>
            <w:r>
              <w:rPr>
                <w:rFonts w:ascii="Times New Roman" w:hAnsi="Times New Roman"/>
                <w:sz w:val="20"/>
              </w:rPr>
              <w:t>Alta</w:t>
            </w:r>
          </w:p>
        </w:tc>
      </w:tr>
    </w:tbl>
    <w:p>
      <w:pPr>
        <w:pStyle w:val="Heading1"/>
      </w:pPr>
      <w:r>
        <w:rPr>
          <w:rFonts w:ascii="Times New Roman" w:hAnsi="Times New Roman"/>
        </w:rPr>
        <w:t>13. MATRIZ DE RIESGOS</w:t>
      </w:r>
    </w:p>
    <w:p>
      <w:pPr>
        <w:jc w:val="both"/>
      </w:pPr>
      <w:r>
        <w:rPr>
          <w:rFonts w:ascii="Times New Roman" w:hAnsi="Times New Roman"/>
          <w:b w:val="0"/>
          <w:i w:val="0"/>
          <w:sz w:val="24"/>
        </w:rPr>
        <w:t>La matriz de riesgos sigue la metodologia 5x5 del BID (Probabilidad x Impacto = Nivel de Riesgo), con estrategias de mitigacion especificas para cada riesgo identificado. Se actualizara anualmente mediante el sistema de M&amp;E del proyecto.</w:t>
      </w:r>
    </w:p>
    <w:p>
      <w:r>
        <w:rPr>
          <w:rFonts w:ascii="Times New Roman" w:hAnsi="Times New Roman"/>
          <w:b w:val="0"/>
          <w:i w:val="0"/>
          <w:sz w:val="8"/>
        </w:rPr>
      </w:r>
    </w:p>
    <w:tbl>
      <w:tblPr>
        <w:tblStyle w:val="TableGrid"/>
        <w:tblW w:type="auto" w:w="0"/>
        <w:jc w:val="center"/>
        <w:tblLook w:firstColumn="1" w:firstRow="1" w:lastColumn="0" w:lastRow="0" w:noHBand="0" w:noVBand="1" w:val="04A0"/>
      </w:tblPr>
      <w:tblGrid>
        <w:gridCol w:w="1799"/>
        <w:gridCol w:w="1799"/>
        <w:gridCol w:w="1799"/>
        <w:gridCol w:w="1799"/>
        <w:gridCol w:w="1799"/>
      </w:tblGrid>
      <w:tr>
        <w:tc>
          <w:tcPr>
            <w:tcW w:type="dxa" w:w="2551"/>
            <w:shd w:fill="003366" w:val="clear"/>
          </w:tcPr>
          <w:p>
            <w:pPr>
              <w:jc w:val="center"/>
            </w:pPr>
            <w:r/>
            <w:r>
              <w:rPr>
                <w:rFonts w:ascii="Times New Roman" w:hAnsi="Times New Roman"/>
                <w:b/>
                <w:color w:val="FFFFFF"/>
                <w:sz w:val="20"/>
              </w:rPr>
              <w:t>Riesgo</w:t>
            </w:r>
          </w:p>
        </w:tc>
        <w:tc>
          <w:tcPr>
            <w:tcW w:type="dxa" w:w="567"/>
            <w:shd w:fill="003366" w:val="clear"/>
          </w:tcPr>
          <w:p>
            <w:pPr>
              <w:jc w:val="center"/>
            </w:pPr>
            <w:r/>
            <w:r>
              <w:rPr>
                <w:rFonts w:ascii="Times New Roman" w:hAnsi="Times New Roman"/>
                <w:b/>
                <w:color w:val="FFFFFF"/>
                <w:sz w:val="20"/>
              </w:rPr>
              <w:t>Prob.</w:t>
            </w:r>
          </w:p>
        </w:tc>
        <w:tc>
          <w:tcPr>
            <w:tcW w:type="dxa" w:w="850"/>
            <w:shd w:fill="003366" w:val="clear"/>
          </w:tcPr>
          <w:p>
            <w:pPr>
              <w:jc w:val="center"/>
            </w:pPr>
            <w:r/>
            <w:r>
              <w:rPr>
                <w:rFonts w:ascii="Times New Roman" w:hAnsi="Times New Roman"/>
                <w:b/>
                <w:color w:val="FFFFFF"/>
                <w:sz w:val="20"/>
              </w:rPr>
              <w:t>Impacto</w:t>
            </w:r>
          </w:p>
        </w:tc>
        <w:tc>
          <w:tcPr>
            <w:tcW w:type="dxa" w:w="1134"/>
            <w:shd w:fill="003366" w:val="clear"/>
          </w:tcPr>
          <w:p>
            <w:pPr>
              <w:jc w:val="center"/>
            </w:pPr>
            <w:r/>
            <w:r>
              <w:rPr>
                <w:rFonts w:ascii="Times New Roman" w:hAnsi="Times New Roman"/>
                <w:b/>
                <w:color w:val="FFFFFF"/>
                <w:sz w:val="20"/>
              </w:rPr>
              <w:t>Nivel</w:t>
            </w:r>
          </w:p>
        </w:tc>
        <w:tc>
          <w:tcPr>
            <w:tcW w:type="dxa" w:w="4252"/>
            <w:shd w:fill="003366" w:val="clear"/>
          </w:tcPr>
          <w:p>
            <w:pPr>
              <w:jc w:val="center"/>
            </w:pPr>
            <w:r/>
            <w:r>
              <w:rPr>
                <w:rFonts w:ascii="Times New Roman" w:hAnsi="Times New Roman"/>
                <w:b/>
                <w:color w:val="FFFFFF"/>
                <w:sz w:val="20"/>
              </w:rPr>
              <w:t>Estrategia de Mitigacion</w:t>
            </w:r>
          </w:p>
        </w:tc>
      </w:tr>
      <w:tr>
        <w:tc>
          <w:tcPr>
            <w:tcW w:type="dxa" w:w="2551"/>
          </w:tcPr>
          <w:p>
            <w:r/>
            <w:r>
              <w:rPr>
                <w:rFonts w:ascii="Times New Roman" w:hAnsi="Times New Roman"/>
                <w:b/>
                <w:sz w:val="20"/>
              </w:rPr>
              <w:t>R1: Rotacion/abandono prematuro de madres durante la formacion</w:t>
            </w:r>
          </w:p>
        </w:tc>
        <w:tc>
          <w:tcPr>
            <w:tcW w:type="dxa" w:w="567"/>
          </w:tcPr>
          <w:p>
            <w:r/>
            <w:r>
              <w:rPr>
                <w:rFonts w:ascii="Times New Roman" w:hAnsi="Times New Roman"/>
                <w:sz w:val="20"/>
              </w:rPr>
              <w:t>3</w:t>
            </w:r>
          </w:p>
        </w:tc>
        <w:tc>
          <w:tcPr>
            <w:tcW w:type="dxa" w:w="850"/>
          </w:tcPr>
          <w:p>
            <w:r/>
            <w:r>
              <w:rPr>
                <w:rFonts w:ascii="Times New Roman" w:hAnsi="Times New Roman"/>
                <w:sz w:val="20"/>
              </w:rPr>
              <w:t>4</w:t>
            </w:r>
          </w:p>
        </w:tc>
        <w:tc>
          <w:tcPr>
            <w:tcW w:type="dxa" w:w="1134"/>
          </w:tcPr>
          <w:p>
            <w:r/>
            <w:r>
              <w:rPr>
                <w:rFonts w:ascii="Times New Roman" w:hAnsi="Times New Roman"/>
                <w:sz w:val="20"/>
              </w:rPr>
              <w:t>12 (Alto)</w:t>
            </w:r>
          </w:p>
        </w:tc>
        <w:tc>
          <w:tcPr>
            <w:tcW w:type="dxa" w:w="4252"/>
          </w:tcPr>
          <w:p>
            <w:r/>
            <w:r>
              <w:rPr>
                <w:rFonts w:ascii="Times New Roman" w:hAnsi="Times New Roman"/>
                <w:sz w:val="20"/>
              </w:rPr>
              <w:t>Seguimiento personalizado de asistencia; apoyo psicosocial individual y grupal; incentivos de asistencia (transporte, alimentacion); red de apoyo entre pares; visitas domiciliarias ante inasistencias injustificadas</w:t>
            </w:r>
          </w:p>
        </w:tc>
      </w:tr>
      <w:tr>
        <w:tc>
          <w:tcPr>
            <w:tcW w:type="dxa" w:w="2551"/>
          </w:tcPr>
          <w:p>
            <w:r/>
            <w:r>
              <w:rPr>
                <w:rFonts w:ascii="Times New Roman" w:hAnsi="Times New Roman"/>
                <w:b/>
                <w:sz w:val="20"/>
              </w:rPr>
              <w:t>R2: Falta o retraso del cofinanciamiento de la contraparte nacional</w:t>
            </w:r>
          </w:p>
        </w:tc>
        <w:tc>
          <w:tcPr>
            <w:tcW w:type="dxa" w:w="567"/>
          </w:tcPr>
          <w:p>
            <w:r/>
            <w:r>
              <w:rPr>
                <w:rFonts w:ascii="Times New Roman" w:hAnsi="Times New Roman"/>
                <w:sz w:val="20"/>
              </w:rPr>
              <w:t>2</w:t>
            </w:r>
          </w:p>
        </w:tc>
        <w:tc>
          <w:tcPr>
            <w:tcW w:type="dxa" w:w="850"/>
          </w:tcPr>
          <w:p>
            <w:r/>
            <w:r>
              <w:rPr>
                <w:rFonts w:ascii="Times New Roman" w:hAnsi="Times New Roman"/>
                <w:sz w:val="20"/>
              </w:rPr>
              <w:t>5</w:t>
            </w:r>
          </w:p>
        </w:tc>
        <w:tc>
          <w:tcPr>
            <w:tcW w:type="dxa" w:w="1134"/>
          </w:tcPr>
          <w:p>
            <w:r/>
            <w:r>
              <w:rPr>
                <w:rFonts w:ascii="Times New Roman" w:hAnsi="Times New Roman"/>
                <w:sz w:val="20"/>
              </w:rPr>
              <w:t>10 (Alto)</w:t>
            </w:r>
          </w:p>
        </w:tc>
        <w:tc>
          <w:tcPr>
            <w:tcW w:type="dxa" w:w="4252"/>
          </w:tcPr>
          <w:p>
            <w:r/>
            <w:r>
              <w:rPr>
                <w:rFonts w:ascii="Times New Roman" w:hAnsi="Times New Roman"/>
                <w:sz w:val="20"/>
              </w:rPr>
              <w:t>Acuerdo formal firmado por ambas partes antes de la aprobacion del proyecto; clausulas de compromiso presupuestario plurianual en el convenio; reuniones de seguimiento trimestrales con MEPyD y Min. Hacienda</w:t>
            </w:r>
          </w:p>
        </w:tc>
      </w:tr>
      <w:tr>
        <w:tc>
          <w:tcPr>
            <w:tcW w:type="dxa" w:w="2551"/>
          </w:tcPr>
          <w:p>
            <w:r/>
            <w:r>
              <w:rPr>
                <w:rFonts w:ascii="Times New Roman" w:hAnsi="Times New Roman"/>
                <w:b/>
                <w:sz w:val="20"/>
              </w:rPr>
              <w:t>R3: Incremento inflacionario en costos de construccion y operacion</w:t>
            </w:r>
          </w:p>
        </w:tc>
        <w:tc>
          <w:tcPr>
            <w:tcW w:type="dxa" w:w="567"/>
          </w:tcPr>
          <w:p>
            <w:r/>
            <w:r>
              <w:rPr>
                <w:rFonts w:ascii="Times New Roman" w:hAnsi="Times New Roman"/>
                <w:sz w:val="20"/>
              </w:rPr>
              <w:t>3</w:t>
            </w:r>
          </w:p>
        </w:tc>
        <w:tc>
          <w:tcPr>
            <w:tcW w:type="dxa" w:w="850"/>
          </w:tcPr>
          <w:p>
            <w:r/>
            <w:r>
              <w:rPr>
                <w:rFonts w:ascii="Times New Roman" w:hAnsi="Times New Roman"/>
                <w:sz w:val="20"/>
              </w:rPr>
              <w:t>3</w:t>
            </w:r>
          </w:p>
        </w:tc>
        <w:tc>
          <w:tcPr>
            <w:tcW w:type="dxa" w:w="1134"/>
          </w:tcPr>
          <w:p>
            <w:r/>
            <w:r>
              <w:rPr>
                <w:rFonts w:ascii="Times New Roman" w:hAnsi="Times New Roman"/>
                <w:sz w:val="20"/>
              </w:rPr>
              <w:t>9 (Medio)</w:t>
            </w:r>
          </w:p>
        </w:tc>
        <w:tc>
          <w:tcPr>
            <w:tcW w:type="dxa" w:w="4252"/>
          </w:tcPr>
          <w:p>
            <w:r/>
            <w:r>
              <w:rPr>
                <w:rFonts w:ascii="Times New Roman" w:hAnsi="Times New Roman"/>
                <w:sz w:val="20"/>
              </w:rPr>
              <w:t>Presupuesto con clausula de escalatoria (indice de precios de la construccion de la ONE); imprevistos del 10%; licitacion a precio fijo con ajuste por inflacion; monitoreo trimestral de costos</w:t>
            </w:r>
          </w:p>
        </w:tc>
      </w:tr>
      <w:tr>
        <w:tc>
          <w:tcPr>
            <w:tcW w:type="dxa" w:w="2551"/>
          </w:tcPr>
          <w:p>
            <w:r/>
            <w:r>
              <w:rPr>
                <w:rFonts w:ascii="Times New Roman" w:hAnsi="Times New Roman"/>
                <w:b/>
                <w:sz w:val="20"/>
              </w:rPr>
              <w:t>R4: Baja colocacion laboral o baja supervivencia de emprendimientos post-curso</w:t>
            </w:r>
          </w:p>
        </w:tc>
        <w:tc>
          <w:tcPr>
            <w:tcW w:type="dxa" w:w="567"/>
          </w:tcPr>
          <w:p>
            <w:r/>
            <w:r>
              <w:rPr>
                <w:rFonts w:ascii="Times New Roman" w:hAnsi="Times New Roman"/>
                <w:sz w:val="20"/>
              </w:rPr>
              <w:t>3</w:t>
            </w:r>
          </w:p>
        </w:tc>
        <w:tc>
          <w:tcPr>
            <w:tcW w:type="dxa" w:w="850"/>
          </w:tcPr>
          <w:p>
            <w:r/>
            <w:r>
              <w:rPr>
                <w:rFonts w:ascii="Times New Roman" w:hAnsi="Times New Roman"/>
                <w:sz w:val="20"/>
              </w:rPr>
              <w:t>5</w:t>
            </w:r>
          </w:p>
        </w:tc>
        <w:tc>
          <w:tcPr>
            <w:tcW w:type="dxa" w:w="1134"/>
          </w:tcPr>
          <w:p>
            <w:r/>
            <w:r>
              <w:rPr>
                <w:rFonts w:ascii="Times New Roman" w:hAnsi="Times New Roman"/>
                <w:sz w:val="20"/>
              </w:rPr>
              <w:t>15 (Muy Alto)</w:t>
            </w:r>
          </w:p>
        </w:tc>
        <w:tc>
          <w:tcPr>
            <w:tcW w:type="dxa" w:w="4252"/>
          </w:tcPr>
          <w:p>
            <w:r/>
            <w:r>
              <w:rPr>
                <w:rFonts w:ascii="Times New Roman" w:hAnsi="Times New Roman"/>
                <w:sz w:val="20"/>
              </w:rPr>
              <w:t>Vinculacion con sector privado desde la fase de diseno curricular; ferias de empleo bimensuales; pasantias durante la formacion; seguimiento post-graduacion por 6 meses; mentoría de egresadas exitosas</w:t>
            </w:r>
          </w:p>
        </w:tc>
      </w:tr>
      <w:tr>
        <w:tc>
          <w:tcPr>
            <w:tcW w:type="dxa" w:w="2551"/>
          </w:tcPr>
          <w:p>
            <w:r/>
            <w:r>
              <w:rPr>
                <w:rFonts w:ascii="Times New Roman" w:hAnsi="Times New Roman"/>
                <w:b/>
                <w:sz w:val="20"/>
              </w:rPr>
              <w:t>R5: Inseguridad ciudadana en la zona de ubicacion del centro</w:t>
            </w:r>
          </w:p>
        </w:tc>
        <w:tc>
          <w:tcPr>
            <w:tcW w:type="dxa" w:w="567"/>
          </w:tcPr>
          <w:p>
            <w:r/>
            <w:r>
              <w:rPr>
                <w:rFonts w:ascii="Times New Roman" w:hAnsi="Times New Roman"/>
                <w:sz w:val="20"/>
              </w:rPr>
              <w:t>2</w:t>
            </w:r>
          </w:p>
        </w:tc>
        <w:tc>
          <w:tcPr>
            <w:tcW w:type="dxa" w:w="850"/>
          </w:tcPr>
          <w:p>
            <w:r/>
            <w:r>
              <w:rPr>
                <w:rFonts w:ascii="Times New Roman" w:hAnsi="Times New Roman"/>
                <w:sz w:val="20"/>
              </w:rPr>
              <w:t>4</w:t>
            </w:r>
          </w:p>
        </w:tc>
        <w:tc>
          <w:tcPr>
            <w:tcW w:type="dxa" w:w="1134"/>
          </w:tcPr>
          <w:p>
            <w:r/>
            <w:r>
              <w:rPr>
                <w:rFonts w:ascii="Times New Roman" w:hAnsi="Times New Roman"/>
                <w:sz w:val="20"/>
              </w:rPr>
              <w:t>8 (Medio)</w:t>
            </w:r>
          </w:p>
        </w:tc>
        <w:tc>
          <w:tcPr>
            <w:tcW w:type="dxa" w:w="4252"/>
          </w:tcPr>
          <w:p>
            <w:r/>
            <w:r>
              <w:rPr>
                <w:rFonts w:ascii="Times New Roman" w:hAnsi="Times New Roman"/>
                <w:sz w:val="20"/>
              </w:rPr>
              <w:t>Diseno arquitectonico con medidas de seguridad perimetral; horarios diurnos de operacion; coordinacion con Policia Nacional y Ministerio Publico; transporte supervisado para madres en horarios nocturnos</w:t>
            </w:r>
          </w:p>
        </w:tc>
      </w:tr>
      <w:tr>
        <w:tc>
          <w:tcPr>
            <w:tcW w:type="dxa" w:w="2551"/>
          </w:tcPr>
          <w:p>
            <w:r/>
            <w:r>
              <w:rPr>
                <w:rFonts w:ascii="Times New Roman" w:hAnsi="Times New Roman"/>
                <w:b/>
                <w:sz w:val="20"/>
              </w:rPr>
              <w:t>R6: Rotacion del personal clave del proyecto</w:t>
            </w:r>
          </w:p>
        </w:tc>
        <w:tc>
          <w:tcPr>
            <w:tcW w:type="dxa" w:w="567"/>
          </w:tcPr>
          <w:p>
            <w:r/>
            <w:r>
              <w:rPr>
                <w:rFonts w:ascii="Times New Roman" w:hAnsi="Times New Roman"/>
                <w:sz w:val="20"/>
              </w:rPr>
              <w:t>3</w:t>
            </w:r>
          </w:p>
        </w:tc>
        <w:tc>
          <w:tcPr>
            <w:tcW w:type="dxa" w:w="850"/>
          </w:tcPr>
          <w:p>
            <w:r/>
            <w:r>
              <w:rPr>
                <w:rFonts w:ascii="Times New Roman" w:hAnsi="Times New Roman"/>
                <w:sz w:val="20"/>
              </w:rPr>
              <w:t>4</w:t>
            </w:r>
          </w:p>
        </w:tc>
        <w:tc>
          <w:tcPr>
            <w:tcW w:type="dxa" w:w="1134"/>
          </w:tcPr>
          <w:p>
            <w:r/>
            <w:r>
              <w:rPr>
                <w:rFonts w:ascii="Times New Roman" w:hAnsi="Times New Roman"/>
                <w:sz w:val="20"/>
              </w:rPr>
              <w:t>12 (Alto)</w:t>
            </w:r>
          </w:p>
        </w:tc>
        <w:tc>
          <w:tcPr>
            <w:tcW w:type="dxa" w:w="4252"/>
          </w:tcPr>
          <w:p>
            <w:r/>
            <w:r>
              <w:rPr>
                <w:rFonts w:ascii="Times New Roman" w:hAnsi="Times New Roman"/>
                <w:sz w:val="20"/>
              </w:rPr>
              <w:t>Plan de retencion (salarios competitivos, desarrollo profesional, ambiente laboral); capacitacion cruzada del personal; manuales de procedimientos documentados; overlap de 1 mes en transiciones</w:t>
            </w:r>
          </w:p>
        </w:tc>
      </w:tr>
      <w:tr>
        <w:tc>
          <w:tcPr>
            <w:tcW w:type="dxa" w:w="2551"/>
          </w:tcPr>
          <w:p>
            <w:r/>
            <w:r>
              <w:rPr>
                <w:rFonts w:ascii="Times New Roman" w:hAnsi="Times New Roman"/>
                <w:b/>
                <w:sz w:val="20"/>
              </w:rPr>
              <w:t>R7: Baja demanda de inscripcion o dificultades de convocatoria</w:t>
            </w:r>
          </w:p>
        </w:tc>
        <w:tc>
          <w:tcPr>
            <w:tcW w:type="dxa" w:w="567"/>
          </w:tcPr>
          <w:p>
            <w:r/>
            <w:r>
              <w:rPr>
                <w:rFonts w:ascii="Times New Roman" w:hAnsi="Times New Roman"/>
                <w:sz w:val="20"/>
              </w:rPr>
              <w:t>2</w:t>
            </w:r>
          </w:p>
        </w:tc>
        <w:tc>
          <w:tcPr>
            <w:tcW w:type="dxa" w:w="850"/>
          </w:tcPr>
          <w:p>
            <w:r/>
            <w:r>
              <w:rPr>
                <w:rFonts w:ascii="Times New Roman" w:hAnsi="Times New Roman"/>
                <w:sz w:val="20"/>
              </w:rPr>
              <w:t>4</w:t>
            </w:r>
          </w:p>
        </w:tc>
        <w:tc>
          <w:tcPr>
            <w:tcW w:type="dxa" w:w="1134"/>
          </w:tcPr>
          <w:p>
            <w:r/>
            <w:r>
              <w:rPr>
                <w:rFonts w:ascii="Times New Roman" w:hAnsi="Times New Roman"/>
                <w:sz w:val="20"/>
              </w:rPr>
              <w:t>8 (Medio)</w:t>
            </w:r>
          </w:p>
        </w:tc>
        <w:tc>
          <w:tcPr>
            <w:tcW w:type="dxa" w:w="4252"/>
          </w:tcPr>
          <w:p>
            <w:r/>
            <w:r>
              <w:rPr>
                <w:rFonts w:ascii="Times New Roman" w:hAnsi="Times New Roman"/>
                <w:sz w:val="20"/>
              </w:rPr>
              <w:t>Convocatoria anticipada (3 meses antes del inicio); difusion masiva en redes de Supérate y Ministerio de la Mujer; referenciacion directa de beneficiarias SIUBEN; campana en medios comunitarios y radiales</w:t>
            </w:r>
          </w:p>
        </w:tc>
      </w:tr>
    </w:tbl>
    <w:p>
      <w:r>
        <w:rPr>
          <w:rFonts w:ascii="Times New Roman" w:hAnsi="Times New Roman"/>
          <w:b w:val="0"/>
          <w:i w:val="0"/>
          <w:sz w:val="8"/>
        </w:rPr>
      </w:r>
    </w:p>
    <w:p>
      <w:r>
        <w:rPr>
          <w:rFonts w:ascii="Times New Roman" w:hAnsi="Times New Roman"/>
          <w:b w:val="0"/>
          <w:i/>
          <w:sz w:val="18"/>
        </w:rPr>
        <w:t>Escala de Probabilidad: 1 = Muy Baja (&lt;10%), 2 = Baja (10-30%), 3 = Media (30-60%), 4 = Alta (60-80%), 5 = Muy Alta (&gt;80%).</w:t>
      </w:r>
    </w:p>
    <w:p>
      <w:r>
        <w:rPr>
          <w:rFonts w:ascii="Times New Roman" w:hAnsi="Times New Roman"/>
          <w:b w:val="0"/>
          <w:i/>
          <w:sz w:val="18"/>
        </w:rPr>
        <w:t>Escala de Impacto: 1 = Menor, 2 = Bajo, 3 = Moderado, 4 = Alto, 5 = Muy Alto (riesgo de fracaso del proyecto).</w:t>
      </w:r>
    </w:p>
    <w:p>
      <w:r>
        <w:rPr>
          <w:rFonts w:ascii="Times New Roman" w:hAnsi="Times New Roman"/>
          <w:b w:val="0"/>
          <w:i/>
          <w:sz w:val="18"/>
        </w:rPr>
        <w:t>Nivel de Riesgo: 1-4 = Bajo, 5-9 = Medio, 10-15 = Alto, 16-25 = Muy Alto.</w:t>
      </w:r>
    </w:p>
    <w:p>
      <w:pPr>
        <w:pStyle w:val="Heading1"/>
      </w:pPr>
      <w:r>
        <w:rPr>
          <w:rFonts w:ascii="Times New Roman" w:hAnsi="Times New Roman"/>
        </w:rPr>
        <w:t>14. ANALISIS DE SOSTENIBILIDAD</w:t>
      </w:r>
    </w:p>
    <w:p>
      <w:pPr>
        <w:jc w:val="both"/>
      </w:pPr>
      <w:r>
        <w:rPr>
          <w:rFonts w:ascii="Times New Roman" w:hAnsi="Times New Roman"/>
          <w:b w:val="0"/>
          <w:i w:val="0"/>
          <w:sz w:val="24"/>
        </w:rPr>
        <w:t>La sostenibilidad del proyecto se garantiza a traves de cuatro dimensiones interrelacionadas que aseguran la continuidad de los beneficios mas alla del periodo de financiamiento internacional.</w:t>
      </w:r>
    </w:p>
    <w:p>
      <w:r>
        <w:rPr>
          <w:rFonts w:ascii="Times New Roman" w:hAnsi="Times New Roman"/>
          <w:b/>
          <w:i w:val="0"/>
          <w:color w:val="003366"/>
          <w:sz w:val="24"/>
        </w:rPr>
        <w:t>Sostenibilidad Financiera:</w:t>
      </w:r>
    </w:p>
    <w:p>
      <w:pPr>
        <w:pStyle w:val="ListBullet"/>
        <w:spacing w:line="360" w:lineRule="auto"/>
        <w:ind w:left="720"/>
      </w:pPr>
      <w:r>
        <w:rPr>
          <w:rFonts w:ascii="Times New Roman" w:hAnsi="Times New Roman"/>
          <w:sz w:val="24"/>
        </w:rPr>
        <w:t>Fondo Rotatorio de Capital Semilla: los retornos parciales de los prestamos (intereses y recuperacion de capital, estimados en un 60-70% de recuperacion a 24 meses) se reinvierten en nuevas beneficiarias, creando un ciclo virtuoso de autofinanciamiento parcial a partir del tercer ano de operacion.</w:t>
      </w:r>
    </w:p>
    <w:p>
      <w:pPr>
        <w:pStyle w:val="ListBullet"/>
        <w:spacing w:line="360" w:lineRule="auto"/>
        <w:ind w:left="720"/>
      </w:pPr>
      <w:r>
        <w:rPr>
          <w:rFonts w:ascii="Times New Roman" w:hAnsi="Times New Roman"/>
          <w:sz w:val="24"/>
        </w:rPr>
        <w:t>Incorporacion al Presupuesto Nacional: la articulacion con Supérate y el Ministerio de la Mujer permite que los costos operativos del centro (personal, servicios basicos, mantenimiento) sean progresivamente incorporados al presupuesto nacional del MEPyD a partir del Ano 4.</w:t>
      </w:r>
    </w:p>
    <w:p>
      <w:pPr>
        <w:pStyle w:val="ListBullet"/>
        <w:spacing w:line="360" w:lineRule="auto"/>
        <w:ind w:left="720"/>
      </w:pPr>
      <w:r>
        <w:rPr>
          <w:rFonts w:ascii="Times New Roman" w:hAnsi="Times New Roman"/>
          <w:sz w:val="24"/>
        </w:rPr>
        <w:t>Alianzas con el Sector Privado: la Ley de Responsabilidad Social (exencion fiscal del 100% del ISR para donaciones a proyectos sociales certificados) constituye un incentivo poderoso para la participacion empresarial sostenida.</w:t>
      </w:r>
    </w:p>
    <w:p>
      <w:pPr>
        <w:pStyle w:val="ListBullet"/>
        <w:spacing w:line="360" w:lineRule="auto"/>
        <w:ind w:left="720"/>
      </w:pPr>
      <w:r>
        <w:rPr>
          <w:rFonts w:ascii="Times New Roman" w:hAnsi="Times New Roman"/>
          <w:sz w:val="24"/>
        </w:rPr>
        <w:t>Generacion de Ingresos Propios: el centro podra generar ingresos complementarios mediante la venta de servicios de formacion a empresas, alquiler de espacios para eventos y la comercializacion de productos elaborados por las beneficiarias (tienda del centro).</w:t>
      </w:r>
    </w:p>
    <w:p>
      <w:r>
        <w:rPr>
          <w:rFonts w:ascii="Times New Roman" w:hAnsi="Times New Roman"/>
          <w:b/>
          <w:i w:val="0"/>
          <w:color w:val="003366"/>
          <w:sz w:val="24"/>
        </w:rPr>
        <w:t>Sostenibilidad Institucional:</w:t>
      </w:r>
    </w:p>
    <w:p>
      <w:pPr>
        <w:pStyle w:val="ListBullet"/>
        <w:spacing w:line="360" w:lineRule="auto"/>
        <w:ind w:left="720"/>
      </w:pPr>
      <w:r>
        <w:rPr>
          <w:rFonts w:ascii="Times New Roman" w:hAnsi="Times New Roman"/>
          <w:sz w:val="24"/>
        </w:rPr>
        <w:t>Los convenios interinstitucionales firmados al inicio del proyecto (Ano 1) garantizan la continuidad de los aportes en especie (instructores INFOTEP, personal del Ministerio de la Mujer, supervision tecnica del MEPyD) durante la vida del proyecto y su renovacion automatica.</w:t>
      </w:r>
    </w:p>
    <w:p>
      <w:pPr>
        <w:pStyle w:val="ListBullet"/>
        <w:spacing w:line="360" w:lineRule="auto"/>
        <w:ind w:left="720"/>
      </w:pPr>
      <w:r>
        <w:rPr>
          <w:rFonts w:ascii="Times New Roman" w:hAnsi="Times New Roman"/>
          <w:sz w:val="24"/>
        </w:rPr>
        <w:t>El modelo de gestion se sistematiza y documenta durante los primeros 3 anos mediante manuales de procedimientos, curriculos estandarizados y protocolos operativos, facilitando su transferencia a una entidad publica existente al finalizar el Ano 5.</w:t>
      </w:r>
    </w:p>
    <w:p>
      <w:pPr>
        <w:pStyle w:val="ListBullet"/>
        <w:spacing w:line="360" w:lineRule="auto"/>
        <w:ind w:left="720"/>
      </w:pPr>
      <w:r>
        <w:rPr>
          <w:rFonts w:ascii="Times New Roman" w:hAnsi="Times New Roman"/>
          <w:sz w:val="24"/>
        </w:rPr>
        <w:t>La UEP se disena como una estructura ligera que puede ser absorbida por la entidad ejecutora al cierre del proyecto, reteniendo el capital humano formado.</w:t>
      </w:r>
    </w:p>
    <w:p>
      <w:r>
        <w:rPr>
          <w:rFonts w:ascii="Times New Roman" w:hAnsi="Times New Roman"/>
          <w:b/>
          <w:i w:val="0"/>
          <w:color w:val="003366"/>
          <w:sz w:val="24"/>
        </w:rPr>
        <w:t>Sostenibilidad Social:</w:t>
      </w:r>
    </w:p>
    <w:p>
      <w:pPr>
        <w:pStyle w:val="ListBullet"/>
        <w:spacing w:line="360" w:lineRule="auto"/>
        <w:ind w:left="720"/>
      </w:pPr>
      <w:r>
        <w:rPr>
          <w:rFonts w:ascii="Times New Roman" w:hAnsi="Times New Roman"/>
          <w:sz w:val="24"/>
        </w:rPr>
        <w:t>La participacion de madres egresadas como mentoras de nuevas generaciones crea una red comunitaria de apoyo y transferencia de conocimientos que trasciende la vida del proyecto.</w:t>
      </w:r>
    </w:p>
    <w:p>
      <w:pPr>
        <w:pStyle w:val="ListBullet"/>
        <w:spacing w:line="360" w:lineRule="auto"/>
        <w:ind w:left="720"/>
      </w:pPr>
      <w:r>
        <w:rPr>
          <w:rFonts w:ascii="Times New Roman" w:hAnsi="Times New Roman"/>
          <w:sz w:val="24"/>
        </w:rPr>
        <w:t>La certificacion INFOTEP tiene validez nacional y portabilidad laboral, garantizando que las habilidades adquiridas sean reconocidas en todo el territorio nacional.</w:t>
      </w:r>
    </w:p>
    <w:p>
      <w:pPr>
        <w:pStyle w:val="ListBullet"/>
        <w:spacing w:line="360" w:lineRule="auto"/>
        <w:ind w:left="720"/>
      </w:pPr>
      <w:r>
        <w:rPr>
          <w:rFonts w:ascii="Times New Roman" w:hAnsi="Times New Roman"/>
          <w:sz w:val="24"/>
        </w:rPr>
        <w:t>La participacion de las madres en el diseno y evaluacion del programa (a traves de grupos focales y comites de beneficiarias) fortalece la apropiacion y pertinencia del modelo.</w:t>
      </w:r>
    </w:p>
    <w:p>
      <w:r>
        <w:rPr>
          <w:rFonts w:ascii="Times New Roman" w:hAnsi="Times New Roman"/>
          <w:b/>
          <w:i w:val="0"/>
          <w:color w:val="003366"/>
          <w:sz w:val="24"/>
        </w:rPr>
        <w:t>Sostenibilidad Ambiental:</w:t>
      </w:r>
    </w:p>
    <w:p>
      <w:pPr>
        <w:pStyle w:val="ListBullet"/>
        <w:spacing w:line="360" w:lineRule="auto"/>
        <w:ind w:left="720"/>
      </w:pPr>
      <w:r>
        <w:rPr>
          <w:rFonts w:ascii="Times New Roman" w:hAnsi="Times New Roman"/>
          <w:sz w:val="24"/>
        </w:rPr>
        <w:t>El diseno arquitectonico del centro incorporara criterios de eficiencia energetica (paneles solares, iluminacion LED, ventilacion natural) y gestion de residuos.</w:t>
      </w:r>
    </w:p>
    <w:p>
      <w:pPr>
        <w:pStyle w:val="ListBullet"/>
        <w:spacing w:line="360" w:lineRule="auto"/>
        <w:ind w:left="720"/>
      </w:pPr>
      <w:r>
        <w:rPr>
          <w:rFonts w:ascii="Times New Roman" w:hAnsi="Times New Roman"/>
          <w:sz w:val="24"/>
        </w:rPr>
        <w:t>Los talleres de manualidades y reciclaje creativo promueven la economia circular y la conciencia ambiental entre las beneficiarias.</w:t>
      </w:r>
    </w:p>
    <w:p>
      <w:r>
        <w:br w:type="page"/>
      </w:r>
    </w:p>
    <w:p>
      <w:pPr>
        <w:pStyle w:val="Heading1"/>
      </w:pPr>
      <w:r>
        <w:rPr>
          <w:rFonts w:ascii="Times New Roman" w:hAnsi="Times New Roman"/>
        </w:rPr>
        <w:t>15. CONCLUSIONES Y RECOMENDACIONES</w:t>
      </w:r>
    </w:p>
    <w:p>
      <w:r>
        <w:rPr>
          <w:rFonts w:ascii="Times New Roman" w:hAnsi="Times New Roman"/>
          <w:b/>
          <w:i w:val="0"/>
          <w:color w:val="003366"/>
          <w:sz w:val="24"/>
        </w:rPr>
        <w:t>Conclusiones:</w:t>
      </w:r>
    </w:p>
    <w:p>
      <w:pPr>
        <w:jc w:val="both"/>
      </w:pPr>
      <w:r>
        <w:rPr>
          <w:rFonts w:ascii="Times New Roman" w:hAnsi="Times New Roman"/>
          <w:b w:val="0"/>
          <w:i w:val="0"/>
          <w:sz w:val="24"/>
        </w:rPr>
        <w:t>Republica Dominicana se encuentra en una coyuntura favorable para la implementacion de proyectos de inclusion productiva con enfoque de genero. El crecimiento economico sostenido, la existencia de una arquitectura de proteccion social consolidada (Superate) y la voluntad politica expresada en la Ley 1-12 END 2030 y en los compromisos internacionales (ODS, CEDAW, Beijing+25) crean las condiciones propicias para una intervencion transformadora.</w:t>
      </w:r>
    </w:p>
    <w:p>
      <w:pPr>
        <w:jc w:val="both"/>
      </w:pPr>
      <w:r>
        <w:rPr>
          <w:rFonts w:ascii="Times New Roman" w:hAnsi="Times New Roman"/>
          <w:b w:val="0"/>
          <w:i w:val="0"/>
          <w:sz w:val="24"/>
        </w:rPr>
        <w:t>El Centro Integral de Capacitacion y Emprendimiento para Madres Solteras constituye una respuesta integral y costo-efectiva a las multiples barreras que enfrentan las madres solteras para generar ingresos sostenibles. Su diseño holistico —que combina formacion tecnica, capital semilla, cuidado infantil y atencion medica en un solo punto de servicio— aborda simultaneamente las causas estructurales de la pobreza femenina: falta de habilidades comercializables, ausencia de redes de cuidado, exclusion financiera y limitaciones de salud.</w:t>
      </w:r>
    </w:p>
    <w:p>
      <w:pPr>
        <w:jc w:val="both"/>
      </w:pPr>
      <w:r>
        <w:rPr>
          <w:rFonts w:ascii="Times New Roman" w:hAnsi="Times New Roman"/>
          <w:b w:val="0"/>
          <w:i w:val="0"/>
          <w:sz w:val="24"/>
        </w:rPr>
        <w:t>Con una inversion estimada de RD$ 110,100,000 (US$ 1,870,000) a 5 anos, el proyecto tiene el potencial de transformar la vida de 300-450 madres solteras y sus hijos cada ano, generando un retorno social estimado de RD$ 2.50 por cada RD$ 1.00 invertido, y creando un modelo replicable que puede escalarse a nivel nacional como politica publica de inclusion productiva con enfoque de genero.</w:t>
      </w:r>
    </w:p>
    <w:p>
      <w:r>
        <w:rPr>
          <w:rFonts w:ascii="Times New Roman" w:hAnsi="Times New Roman"/>
          <w:b/>
          <w:i w:val="0"/>
          <w:color w:val="003366"/>
          <w:sz w:val="24"/>
        </w:rPr>
        <w:t>Recomendaciones:</w:t>
      </w:r>
    </w:p>
    <w:p>
      <w:pPr>
        <w:pStyle w:val="ListBullet"/>
        <w:spacing w:line="360" w:lineRule="auto"/>
        <w:ind w:left="720"/>
      </w:pPr>
      <w:r>
        <w:rPr>
          <w:rFonts w:ascii="Times New Roman" w:hAnsi="Times New Roman"/>
          <w:sz w:val="24"/>
        </w:rPr>
        <w:t>Realizar un estudio de factibilidad detallado que incluya: estudio de mercado, diseño arquitectonico, evaluacion de impacto ambiental (EIA) y analisis de costo-beneficio actualizado con precios de mercado de junio 2026.</w:t>
      </w:r>
    </w:p>
    <w:p>
      <w:pPr>
        <w:pStyle w:val="ListBullet"/>
        <w:spacing w:line="360" w:lineRule="auto"/>
        <w:ind w:left="720"/>
      </w:pPr>
      <w:r>
        <w:rPr>
          <w:rFonts w:ascii="Times New Roman" w:hAnsi="Times New Roman"/>
          <w:sz w:val="24"/>
        </w:rPr>
        <w:t>Iniciar las gestiones diplomaticas y tecnicas para la negociacion del financiamiento con el BID (ventana de genero) y el PNUD (CPD Republica Dominicana 2023-2027) durante el ultimo trimestre de 2026.</w:t>
      </w:r>
    </w:p>
    <w:p>
      <w:pPr>
        <w:pStyle w:val="ListBullet"/>
        <w:spacing w:line="360" w:lineRule="auto"/>
        <w:ind w:left="720"/>
      </w:pPr>
      <w:r>
        <w:rPr>
          <w:rFonts w:ascii="Times New Roman" w:hAnsi="Times New Roman"/>
          <w:sz w:val="24"/>
        </w:rPr>
        <w:t>Constituir formalmente la UEP y firmar los convenios interinstitucionales antes del inicio del Ano 1 del proyecto.</w:t>
      </w:r>
    </w:p>
    <w:p>
      <w:pPr>
        <w:pStyle w:val="ListBullet"/>
        <w:spacing w:line="360" w:lineRule="auto"/>
        <w:ind w:left="720"/>
      </w:pPr>
      <w:r>
        <w:rPr>
          <w:rFonts w:ascii="Times New Roman" w:hAnsi="Times New Roman"/>
          <w:sz w:val="24"/>
        </w:rPr>
        <w:t>Contratar la evaluacion de linea base durante los primeros 6 meses de ejecucion para establecer los parametros de medicion de impacto.</w:t>
      </w:r>
    </w:p>
    <w:p>
      <w:pPr>
        <w:pStyle w:val="ListBullet"/>
        <w:spacing w:line="360" w:lineRule="auto"/>
        <w:ind w:left="720"/>
      </w:pPr>
      <w:r>
        <w:rPr>
          <w:rFonts w:ascii="Times New Roman" w:hAnsi="Times New Roman"/>
          <w:sz w:val="24"/>
        </w:rPr>
        <w:t>Incorporar al proyecto un componente de investigacion-accion que permita documentar el proceso de implementacion y generar evidencia para la incidencia politica.</w:t>
      </w:r>
    </w:p>
    <w:p>
      <w:r>
        <w:br w:type="page"/>
      </w:r>
    </w:p>
    <w:p>
      <w:pPr>
        <w:pStyle w:val="Heading1"/>
      </w:pPr>
      <w:r>
        <w:rPr>
          <w:rFonts w:ascii="Times New Roman" w:hAnsi="Times New Roman"/>
        </w:rPr>
        <w:t>REFERENCIAS BIBLIOGRAFICAS</w:t>
      </w:r>
    </w:p>
    <w:p>
      <w:pPr>
        <w:spacing w:after="80" w:line="360" w:lineRule="auto"/>
        <w:ind w:left="720" w:hanging="720"/>
      </w:pPr>
      <w:r>
        <w:rPr>
          <w:rFonts w:ascii="Times New Roman" w:hAnsi="Times New Roman"/>
          <w:sz w:val="22"/>
        </w:rPr>
        <w:t>Banco Mundial. (2024). Diagnosticos de genero: Republica Dominicana. Grupo Banco Mundial. https://www.bancomundial.org/es/country/dominicanrepublic</w:t>
      </w:r>
    </w:p>
    <w:p>
      <w:pPr>
        <w:spacing w:after="80" w:line="360" w:lineRule="auto"/>
        <w:ind w:left="720" w:hanging="720"/>
      </w:pPr>
      <w:r>
        <w:rPr>
          <w:rFonts w:ascii="Times New Roman" w:hAnsi="Times New Roman"/>
          <w:sz w:val="22"/>
        </w:rPr>
        <w:t>Banco Mundial. (2024). Resiliencia climatica y proteccion social adaptativa en Republica Dominicana: El caso del Bono de Emergencia post-huracan Fiona. Grupo Banco Mundial.</w:t>
      </w:r>
    </w:p>
    <w:p>
      <w:pPr>
        <w:spacing w:after="80" w:line="360" w:lineRule="auto"/>
        <w:ind w:left="720" w:hanging="720"/>
      </w:pPr>
      <w:r>
        <w:rPr>
          <w:rFonts w:ascii="Times New Roman" w:hAnsi="Times New Roman"/>
          <w:sz w:val="22"/>
        </w:rPr>
        <w:t>Banco Mundial. (2025). Country Partnership Framework (CPF) for the Dominican Republic 2022-2026. Grupo Banco Mundial.</w:t>
      </w:r>
    </w:p>
    <w:p>
      <w:pPr>
        <w:spacing w:after="80" w:line="360" w:lineRule="auto"/>
        <w:ind w:left="720" w:hanging="720"/>
      </w:pPr>
      <w:r>
        <w:rPr>
          <w:rFonts w:ascii="Times New Roman" w:hAnsi="Times New Roman"/>
          <w:sz w:val="22"/>
        </w:rPr>
        <w:t>Banco Mundial. (2025). Dominican Republic Overview: Development news, research, data. https://www.bancomundial.org/es/country/dominicanrepublic/overview</w:t>
      </w:r>
    </w:p>
    <w:p>
      <w:pPr>
        <w:spacing w:after="80" w:line="360" w:lineRule="auto"/>
        <w:ind w:left="720" w:hanging="720"/>
      </w:pPr>
      <w:r>
        <w:rPr>
          <w:rFonts w:ascii="Times New Roman" w:hAnsi="Times New Roman"/>
          <w:sz w:val="22"/>
        </w:rPr>
        <w:t>Banco Mundial. (2025). World Development Indicators: Dominican Republic. https://datos.bancomundial.org/pais/republica-dominicana</w:t>
      </w:r>
    </w:p>
    <w:p>
      <w:pPr>
        <w:spacing w:after="80" w:line="360" w:lineRule="auto"/>
        <w:ind w:left="720" w:hanging="720"/>
      </w:pPr>
      <w:r>
        <w:rPr>
          <w:rFonts w:ascii="Times New Roman" w:hAnsi="Times New Roman"/>
          <w:sz w:val="22"/>
        </w:rPr>
        <w:t>Banco Central de la Republica Dominicana. (2024). Encuesta Nacional Continua de Fuerza de Trabajo (ENCFT). https://www.bancentral.gov.do/a/d/2541-encuesta-continua-encft</w:t>
      </w:r>
    </w:p>
    <w:p>
      <w:pPr>
        <w:spacing w:after="80" w:line="360" w:lineRule="auto"/>
        <w:ind w:left="720" w:hanging="720"/>
      </w:pPr>
      <w:r>
        <w:rPr>
          <w:rFonts w:ascii="Times New Roman" w:hAnsi="Times New Roman"/>
          <w:sz w:val="22"/>
        </w:rPr>
        <w:t>Comision Economica para America Latina y el Caribe (CEPAL). (2023). Panorama Social de America Latina y el Caribe 2023. Naciones Unidas.</w:t>
      </w:r>
    </w:p>
    <w:p>
      <w:pPr>
        <w:spacing w:after="80" w:line="360" w:lineRule="auto"/>
        <w:ind w:left="720" w:hanging="720"/>
      </w:pPr>
      <w:r>
        <w:rPr>
          <w:rFonts w:ascii="Times New Roman" w:hAnsi="Times New Roman"/>
          <w:sz w:val="22"/>
        </w:rPr>
        <w:t>Foro Economico Mundial. (2022). Global Gender Gap Report 2022. World Economic Forum.</w:t>
      </w:r>
    </w:p>
    <w:p>
      <w:pPr>
        <w:spacing w:after="80" w:line="360" w:lineRule="auto"/>
        <w:ind w:left="720" w:hanging="720"/>
      </w:pPr>
      <w:r>
        <w:rPr>
          <w:rFonts w:ascii="Times New Roman" w:hAnsi="Times New Roman"/>
          <w:sz w:val="22"/>
        </w:rPr>
        <w:t>Ley No. 1-12. (2012). Ley Organica de la Estrategia Nacional de Desarrollo de la Republica Dominicana 2030. Gaceta Oficial No. 10654.</w:t>
      </w:r>
    </w:p>
    <w:p>
      <w:pPr>
        <w:spacing w:after="80" w:line="360" w:lineRule="auto"/>
        <w:ind w:left="720" w:hanging="720"/>
      </w:pPr>
      <w:r>
        <w:rPr>
          <w:rFonts w:ascii="Times New Roman" w:hAnsi="Times New Roman"/>
          <w:sz w:val="22"/>
        </w:rPr>
        <w:t>Ministerio de Economia, Planificacion y Desarrollo (MEPyD). (2022). Estrategia Nacional de Desarrollo 2030: Informe de Avance. Santo Domingo, RD.</w:t>
      </w:r>
    </w:p>
    <w:p>
      <w:pPr>
        <w:spacing w:after="80" w:line="360" w:lineRule="auto"/>
        <w:ind w:left="720" w:hanging="720"/>
      </w:pPr>
      <w:r>
        <w:rPr>
          <w:rFonts w:ascii="Times New Roman" w:hAnsi="Times New Roman"/>
          <w:sz w:val="22"/>
        </w:rPr>
        <w:t>Oficina Nacional de Estadistica (ONE). (2026). Transversalizacion del Enfoque de Genero en la Produccion de Indicadores ODS Priorizados. https://www.one.gob.do</w:t>
      </w:r>
    </w:p>
    <w:p>
      <w:pPr>
        <w:spacing w:after="80" w:line="360" w:lineRule="auto"/>
        <w:ind w:left="720" w:hanging="720"/>
      </w:pPr>
      <w:r>
        <w:rPr>
          <w:rFonts w:ascii="Times New Roman" w:hAnsi="Times New Roman"/>
          <w:sz w:val="22"/>
        </w:rPr>
        <w:t>Programa de las Naciones Unidas para el Desarrollo (PNUD). (2021). Human Development Report 2021/2022: Uncertain Times, Unsettled Lives. Nueva York: PNUD.</w:t>
      </w:r>
    </w:p>
    <w:p>
      <w:pPr>
        <w:spacing w:after="80" w:line="360" w:lineRule="auto"/>
        <w:ind w:left="720" w:hanging="720"/>
      </w:pPr>
      <w:r>
        <w:rPr>
          <w:rFonts w:ascii="Times New Roman" w:hAnsi="Times New Roman"/>
          <w:sz w:val="22"/>
        </w:rPr>
        <w:t>Programa de las Naciones Unidas para el Desarrollo (PNUD). (2022). Analisis de la Brecha Salarial de Genero en Republica Dominicana. Santo Domingo: PNUD RD.</w:t>
      </w:r>
    </w:p>
    <w:p>
      <w:pPr>
        <w:spacing w:after="80" w:line="360" w:lineRule="auto"/>
        <w:ind w:left="720" w:hanging="720"/>
      </w:pPr>
      <w:r>
        <w:rPr>
          <w:rFonts w:ascii="Times New Roman" w:hAnsi="Times New Roman"/>
          <w:sz w:val="22"/>
        </w:rPr>
        <w:t>Programa de las Naciones Unidas para el Desarrollo (PNUD). (2023). Country Programme Document (CPD) for the Dominican Republic 2023-2027. PNUD.</w:t>
      </w:r>
    </w:p>
    <w:p>
      <w:pPr>
        <w:spacing w:after="80" w:line="360" w:lineRule="auto"/>
        <w:ind w:left="720" w:hanging="720"/>
      </w:pPr>
      <w:r>
        <w:rPr>
          <w:rFonts w:ascii="Times New Roman" w:hAnsi="Times New Roman"/>
          <w:sz w:val="22"/>
        </w:rPr>
        <w:t>Programa de las Naciones Unidas para el Desarrollo (PNUD). (2024). Programme and Operations Policies and Procedures (POPP). https://popp.undp.org</w:t>
      </w:r>
    </w:p>
    <w:p>
      <w:pPr>
        <w:spacing w:after="80" w:line="360" w:lineRule="auto"/>
        <w:ind w:left="720" w:hanging="720"/>
      </w:pPr>
      <w:r>
        <w:rPr>
          <w:rFonts w:ascii="Times New Roman" w:hAnsi="Times New Roman"/>
          <w:sz w:val="22"/>
        </w:rPr>
        <w:t>Superate. (2024). Memoria Institucional 2024 y Nuestros Componentes. Direccion General de Desarrollo Social. https://www.superate.gob.do</w:t>
      </w:r>
    </w:p>
    <w:p>
      <w:pPr>
        <w:spacing w:after="80" w:line="360" w:lineRule="auto"/>
        <w:ind w:left="720" w:hanging="720"/>
      </w:pPr>
      <w:r>
        <w:rPr>
          <w:rFonts w:ascii="Times New Roman" w:hAnsi="Times New Roman"/>
          <w:sz w:val="22"/>
        </w:rPr>
        <w:t>UN Women. (2021). Gender Equality and Women Empowerment in the Dominican Republic: Country Brief. UN Women.</w:t>
      </w:r>
    </w:p>
    <w:p>
      <w:pPr>
        <w:spacing w:after="80" w:line="360" w:lineRule="auto"/>
        <w:ind w:left="720" w:hanging="720"/>
      </w:pPr>
      <w:r>
        <w:rPr>
          <w:rFonts w:ascii="Times New Roman" w:hAnsi="Times New Roman"/>
          <w:sz w:val="22"/>
        </w:rPr>
        <w:t>United Nations. (2015). Transforming Our World: The 2030 Agenda for Sustainable Development. A/RES/70/1.</w:t>
      </w:r>
    </w:p>
    <w:p>
      <w:r>
        <w:br w:type="page"/>
      </w:r>
    </w:p>
    <w:p>
      <w:pPr>
        <w:pStyle w:val="Heading1"/>
      </w:pPr>
      <w:r>
        <w:rPr>
          <w:rFonts w:ascii="Times New Roman" w:hAnsi="Times New Roman"/>
        </w:rPr>
        <w:t>ANEXOS</w:t>
      </w:r>
    </w:p>
    <w:p>
      <w:pPr>
        <w:jc w:val="both"/>
      </w:pPr>
      <w:r>
        <w:rPr>
          <w:rFonts w:ascii="Times New Roman" w:hAnsi="Times New Roman"/>
          <w:b w:val="0"/>
          <w:i w:val="0"/>
          <w:sz w:val="24"/>
        </w:rPr>
        <w:t>Los siguientes anexos complementan y detallan la informacion presentada en el cuerpo de la propuesta:</w:t>
      </w:r>
    </w:p>
    <w:p>
      <w:r>
        <w:rPr>
          <w:rFonts w:ascii="Times New Roman" w:hAnsi="Times New Roman"/>
          <w:b w:val="0"/>
          <w:i w:val="0"/>
          <w:sz w:val="8"/>
        </w:rPr>
      </w:r>
    </w:p>
    <w:tbl>
      <w:tblPr>
        <w:tblStyle w:val="TableGrid"/>
        <w:tblW w:type="auto" w:w="0"/>
        <w:jc w:val="center"/>
        <w:tblLook w:firstColumn="1" w:firstRow="1" w:lastColumn="0" w:lastRow="0" w:noHBand="0" w:noVBand="1" w:val="04A0"/>
      </w:tblPr>
      <w:tblGrid>
        <w:gridCol w:w="2999"/>
        <w:gridCol w:w="2999"/>
        <w:gridCol w:w="2999"/>
      </w:tblGrid>
      <w:tr>
        <w:tc>
          <w:tcPr>
            <w:tcW w:type="dxa" w:w="850"/>
            <w:shd w:fill="003366" w:val="clear"/>
          </w:tcPr>
          <w:p>
            <w:pPr>
              <w:jc w:val="center"/>
            </w:pPr>
            <w:r/>
            <w:r>
              <w:rPr>
                <w:rFonts w:ascii="Times New Roman" w:hAnsi="Times New Roman"/>
                <w:b/>
                <w:color w:val="FFFFFF"/>
                <w:sz w:val="20"/>
              </w:rPr>
              <w:t>Anexo</w:t>
            </w:r>
          </w:p>
        </w:tc>
        <w:tc>
          <w:tcPr>
            <w:tcW w:type="dxa" w:w="2268"/>
            <w:shd w:fill="003366" w:val="clear"/>
          </w:tcPr>
          <w:p>
            <w:pPr>
              <w:jc w:val="center"/>
            </w:pPr>
            <w:r/>
            <w:r>
              <w:rPr>
                <w:rFonts w:ascii="Times New Roman" w:hAnsi="Times New Roman"/>
                <w:b/>
                <w:color w:val="FFFFFF"/>
                <w:sz w:val="20"/>
              </w:rPr>
              <w:t>Titulo</w:t>
            </w:r>
          </w:p>
        </w:tc>
        <w:tc>
          <w:tcPr>
            <w:tcW w:type="dxa" w:w="6236"/>
            <w:shd w:fill="003366" w:val="clear"/>
          </w:tcPr>
          <w:p>
            <w:pPr>
              <w:jc w:val="center"/>
            </w:pPr>
            <w:r/>
            <w:r>
              <w:rPr>
                <w:rFonts w:ascii="Times New Roman" w:hAnsi="Times New Roman"/>
                <w:b/>
                <w:color w:val="FFFFFF"/>
                <w:sz w:val="20"/>
              </w:rPr>
              <w:t>Descripcion</w:t>
            </w:r>
          </w:p>
        </w:tc>
      </w:tr>
      <w:tr>
        <w:tc>
          <w:tcPr>
            <w:tcW w:type="dxa" w:w="850"/>
          </w:tcPr>
          <w:p>
            <w:r/>
            <w:r>
              <w:rPr>
                <w:rFonts w:ascii="Times New Roman" w:hAnsi="Times New Roman"/>
                <w:b/>
                <w:sz w:val="20"/>
              </w:rPr>
              <w:t>Anexo 1</w:t>
            </w:r>
          </w:p>
        </w:tc>
        <w:tc>
          <w:tcPr>
            <w:tcW w:type="dxa" w:w="2268"/>
          </w:tcPr>
          <w:p>
            <w:r/>
            <w:r>
              <w:rPr>
                <w:rFonts w:ascii="Times New Roman" w:hAnsi="Times New Roman"/>
                <w:sz w:val="20"/>
              </w:rPr>
              <w:t>Presupuesto Detallado por Partida</w:t>
            </w:r>
          </w:p>
        </w:tc>
        <w:tc>
          <w:tcPr>
            <w:tcW w:type="dxa" w:w="6236"/>
          </w:tcPr>
          <w:p>
            <w:r/>
            <w:r>
              <w:rPr>
                <w:rFonts w:ascii="Times New Roman" w:hAnsi="Times New Roman"/>
                <w:sz w:val="20"/>
              </w:rPr>
              <w:t>Archivo Microsoft Excel: Presupuesto_Centro_Madres_Solteras.xlsx. Contiene: hoja resumen por componente, hoja de inversion inicial, hoja operacion anual, hoja capital semilla, hoja flujo de caja 5 anos.</w:t>
            </w:r>
          </w:p>
        </w:tc>
      </w:tr>
      <w:tr>
        <w:tc>
          <w:tcPr>
            <w:tcW w:type="dxa" w:w="850"/>
          </w:tcPr>
          <w:p>
            <w:r/>
            <w:r>
              <w:rPr>
                <w:rFonts w:ascii="Times New Roman" w:hAnsi="Times New Roman"/>
                <w:b/>
                <w:sz w:val="20"/>
              </w:rPr>
              <w:t>Anexo 2</w:t>
            </w:r>
          </w:p>
        </w:tc>
        <w:tc>
          <w:tcPr>
            <w:tcW w:type="dxa" w:w="2268"/>
          </w:tcPr>
          <w:p>
            <w:r/>
            <w:r>
              <w:rPr>
                <w:rFonts w:ascii="Times New Roman" w:hAnsi="Times New Roman"/>
                <w:sz w:val="20"/>
              </w:rPr>
              <w:t>Fichas Tecnicas por Disciplina</w:t>
            </w:r>
          </w:p>
        </w:tc>
        <w:tc>
          <w:tcPr>
            <w:tcW w:type="dxa" w:w="6236"/>
          </w:tcPr>
          <w:p>
            <w:r/>
            <w:r>
              <w:rPr>
                <w:rFonts w:ascii="Times New Roman" w:hAnsi="Times New Roman"/>
                <w:sz w:val="20"/>
              </w:rPr>
              <w:t>Descripcion detallada de cada una de las 5 disciplinas: objetivos de aprendizaje, modulo por semana, perfil del instructor, lista de equipos necesarios, materiales por estudiante, sistema de evaluacion.</w:t>
            </w:r>
          </w:p>
        </w:tc>
      </w:tr>
      <w:tr>
        <w:tc>
          <w:tcPr>
            <w:tcW w:type="dxa" w:w="850"/>
          </w:tcPr>
          <w:p>
            <w:r/>
            <w:r>
              <w:rPr>
                <w:rFonts w:ascii="Times New Roman" w:hAnsi="Times New Roman"/>
                <w:b/>
                <w:sz w:val="20"/>
              </w:rPr>
              <w:t>Anexo 3</w:t>
            </w:r>
          </w:p>
        </w:tc>
        <w:tc>
          <w:tcPr>
            <w:tcW w:type="dxa" w:w="2268"/>
          </w:tcPr>
          <w:p>
            <w:r/>
            <w:r>
              <w:rPr>
                <w:rFonts w:ascii="Times New Roman" w:hAnsi="Times New Roman"/>
                <w:sz w:val="20"/>
              </w:rPr>
              <w:t>Planos Arquitectonicos Conceptuales</w:t>
            </w:r>
          </w:p>
        </w:tc>
        <w:tc>
          <w:tcPr>
            <w:tcW w:type="dxa" w:w="6236"/>
          </w:tcPr>
          <w:p>
            <w:r/>
            <w:r>
              <w:rPr>
                <w:rFonts w:ascii="Times New Roman" w:hAnsi="Times New Roman"/>
                <w:sz w:val="20"/>
              </w:rPr>
              <w:t>Distribucion de espacios: 10-15 aulas polivalentes, talleres especializados, area de guarderia (ludoteca + tareas dirigidas), dispensario medico (consultorios + farmacia), area administrativa, comedor/cocina, areas comunes.</w:t>
            </w:r>
          </w:p>
        </w:tc>
      </w:tr>
      <w:tr>
        <w:tc>
          <w:tcPr>
            <w:tcW w:type="dxa" w:w="850"/>
          </w:tcPr>
          <w:p>
            <w:r/>
            <w:r>
              <w:rPr>
                <w:rFonts w:ascii="Times New Roman" w:hAnsi="Times New Roman"/>
                <w:b/>
                <w:sz w:val="20"/>
              </w:rPr>
              <w:t>Anexo 4</w:t>
            </w:r>
          </w:p>
        </w:tc>
        <w:tc>
          <w:tcPr>
            <w:tcW w:type="dxa" w:w="2268"/>
          </w:tcPr>
          <w:p>
            <w:r/>
            <w:r>
              <w:rPr>
                <w:rFonts w:ascii="Times New Roman" w:hAnsi="Times New Roman"/>
                <w:sz w:val="20"/>
              </w:rPr>
              <w:t>Modelo de Cartas de Intencion</w:t>
            </w:r>
          </w:p>
        </w:tc>
        <w:tc>
          <w:tcPr>
            <w:tcW w:type="dxa" w:w="6236"/>
          </w:tcPr>
          <w:p>
            <w:r/>
            <w:r>
              <w:rPr>
                <w:rFonts w:ascii="Times New Roman" w:hAnsi="Times New Roman"/>
                <w:sz w:val="20"/>
              </w:rPr>
              <w:t>Formato estandar de carta de intencion para contrapartes institucionales: Superate, Ministerio de la Mujer, INFOTEP, MICM, empresas privadas. Incluye clausulas de compromiso presupuestario.</w:t>
            </w:r>
          </w:p>
        </w:tc>
      </w:tr>
      <w:tr>
        <w:tc>
          <w:tcPr>
            <w:tcW w:type="dxa" w:w="850"/>
          </w:tcPr>
          <w:p>
            <w:r/>
            <w:r>
              <w:rPr>
                <w:rFonts w:ascii="Times New Roman" w:hAnsi="Times New Roman"/>
                <w:b/>
                <w:sz w:val="20"/>
              </w:rPr>
              <w:t>Anexo 5</w:t>
            </w:r>
          </w:p>
        </w:tc>
        <w:tc>
          <w:tcPr>
            <w:tcW w:type="dxa" w:w="2268"/>
          </w:tcPr>
          <w:p>
            <w:r/>
            <w:r>
              <w:rPr>
                <w:rFonts w:ascii="Times New Roman" w:hAnsi="Times New Roman"/>
                <w:sz w:val="20"/>
              </w:rPr>
              <w:t>Marco Legal Aplicable</w:t>
            </w:r>
          </w:p>
        </w:tc>
        <w:tc>
          <w:tcPr>
            <w:tcW w:type="dxa" w:w="6236"/>
          </w:tcPr>
          <w:p>
            <w:r/>
            <w:r>
              <w:rPr>
                <w:rFonts w:ascii="Times New Roman" w:hAnsi="Times New Roman"/>
                <w:sz w:val="20"/>
              </w:rPr>
              <w:t>Compilacion de la normativa vigente: Ley 1-12 END 2030, Ley de Supérate, Ley 88-03 del Ministerio de la Mujer, Ley de RSE, Ley 34-98 de MIPyMES, Ley 87-01 de Seguridad Social, Convenios OIT 100 (igualdad remuneracion) y 156 (trabajadores con responsabilidades familiares).</w:t>
            </w:r>
          </w:p>
        </w:tc>
      </w:tr>
      <w:tr>
        <w:tc>
          <w:tcPr>
            <w:tcW w:type="dxa" w:w="850"/>
          </w:tcPr>
          <w:p>
            <w:r/>
            <w:r>
              <w:rPr>
                <w:rFonts w:ascii="Times New Roman" w:hAnsi="Times New Roman"/>
                <w:b/>
                <w:sz w:val="20"/>
              </w:rPr>
              <w:t>Anexo 6</w:t>
            </w:r>
          </w:p>
        </w:tc>
        <w:tc>
          <w:tcPr>
            <w:tcW w:type="dxa" w:w="2268"/>
          </w:tcPr>
          <w:p>
            <w:r/>
            <w:r>
              <w:rPr>
                <w:rFonts w:ascii="Times New Roman" w:hAnsi="Times New Roman"/>
                <w:sz w:val="20"/>
              </w:rPr>
              <w:t>Equipo Clave Propuesto</w:t>
            </w:r>
          </w:p>
        </w:tc>
        <w:tc>
          <w:tcPr>
            <w:tcW w:type="dxa" w:w="6236"/>
          </w:tcPr>
          <w:p>
            <w:r/>
            <w:r>
              <w:rPr>
                <w:rFonts w:ascii="Times New Roman" w:hAnsi="Times New Roman"/>
                <w:sz w:val="20"/>
              </w:rPr>
              <w:t>Perfiles y curriculos del equipo minimo de la UEP: Director/a del Proyecto, Coordinador/a Academico, Coordinador/a Administrativo-Financiero, Especialista en Genero, Especialista en M&amp;E.</w:t>
            </w:r>
          </w:p>
        </w:tc>
      </w:tr>
      <w:tr>
        <w:tc>
          <w:tcPr>
            <w:tcW w:type="dxa" w:w="850"/>
          </w:tcPr>
          <w:p>
            <w:r/>
            <w:r>
              <w:rPr>
                <w:rFonts w:ascii="Times New Roman" w:hAnsi="Times New Roman"/>
                <w:b/>
                <w:sz w:val="20"/>
              </w:rPr>
              <w:t>Anexo 7</w:t>
            </w:r>
          </w:p>
        </w:tc>
        <w:tc>
          <w:tcPr>
            <w:tcW w:type="dxa" w:w="2268"/>
          </w:tcPr>
          <w:p>
            <w:r/>
            <w:r>
              <w:rPr>
                <w:rFonts w:ascii="Times New Roman" w:hAnsi="Times New Roman"/>
                <w:sz w:val="20"/>
              </w:rPr>
              <w:t>Glosario de Terminos BID/PNUD</w:t>
            </w:r>
          </w:p>
        </w:tc>
        <w:tc>
          <w:tcPr>
            <w:tcW w:type="dxa" w:w="6236"/>
          </w:tcPr>
          <w:p>
            <w:r/>
            <w:r>
              <w:rPr>
                <w:rFonts w:ascii="Times New Roman" w:hAnsi="Times New Roman"/>
                <w:sz w:val="20"/>
              </w:rPr>
              <w:t>Definiciones de terminos tecnicos utilizados en el documento: marco logico, teoria de cambio, output, outcome, impacto, gender marker, NIM, DIM, HACT, ASG, salvaguardas, cofinanciamiento.</w:t>
            </w:r>
          </w:p>
        </w:tc>
      </w:tr>
    </w:tbl>
    <w:p>
      <w:r>
        <w:rPr>
          <w:rFonts w:ascii="Times New Roman" w:hAnsi="Times New Roman"/>
          <w:b w:val="0"/>
          <w:i w:val="0"/>
          <w:sz w:val="20"/>
        </w:rPr>
      </w:r>
    </w:p>
    <w:p>
      <w:pPr>
        <w:jc w:val="center"/>
      </w:pPr>
      <w:r>
        <w:rPr>
          <w:rFonts w:ascii="Times New Roman" w:hAnsi="Times New Roman"/>
          <w:b/>
          <w:i w:val="0"/>
          <w:color w:val="003366"/>
          <w:sz w:val="28"/>
        </w:rPr>
        <w:t>--- FIN DEL DOCUMENTO ---</w:t>
      </w:r>
    </w:p>
    <w:sectPr w:rsidR="00FC693F" w:rsidRPr="0006063C" w:rsidSect="00034616">
      <w:headerReference w:type="default" r:id="rId9"/>
      <w:footerReference w:type="default" r:id="rId10"/>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Pagina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6"/>
      </w:rPr>
      <w:t>Centro Integral de Capacitacion y Emprendimiento para Madres Solteras — Propuesta Tecnica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