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50.png" ContentType="image/png"/>
  <Override PartName="/word/media/rId47.png" ContentType="image/png"/>
  <Override PartName="/word/media/rId53.png" ContentType="image/png"/>
  <Override PartName="/word/media/rId34.png" ContentType="image/png"/>
  <Override PartName="/word/media/rId40.png" ContentType="image/png"/>
  <Override PartName="/word/media/rId43.png" ContentType="image/png"/>
  <Override PartName="/word/media/rId37.png" ContentType="image/png"/>
  <Override PartName="/word/media/rId22.png" ContentType="image/png"/>
  <Override PartName="/word/media/rId60.png" ContentType="image/png"/>
  <Override PartName="/word/media/rId57.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Suplementary</w:t>
      </w:r>
      <w:r>
        <w:t xml:space="preserve"> </w:t>
      </w:r>
      <w:r>
        <w:t xml:space="preserve">Material</w:t>
      </w:r>
    </w:p>
    <w:p>
      <w:pPr>
        <w:pStyle w:val="Author"/>
      </w:pPr>
      <w:r>
        <w:t xml:space="preserve">Ranni</w:t>
      </w:r>
      <w:r>
        <w:t xml:space="preserve"> </w:t>
      </w:r>
      <w:r>
        <w:t xml:space="preserve">Tewfik</w:t>
      </w:r>
    </w:p>
    <w:p>
      <w:pPr>
        <w:pStyle w:val="Date"/>
      </w:pPr>
      <w:r>
        <w:t xml:space="preserve">2024-05-03</w:t>
      </w:r>
    </w:p>
    <w:bookmarkStart w:id="21" w:name="documentation-for-supplementary-material"/>
    <w:p>
      <w:pPr>
        <w:pStyle w:val="Heading1"/>
      </w:pPr>
      <w:r>
        <w:t xml:space="preserve">1. Documentation for Supplementary Material</w:t>
      </w:r>
    </w:p>
    <w:p>
      <w:pPr>
        <w:pStyle w:val="FirstParagraph"/>
      </w:pPr>
      <w:r>
        <w:t xml:space="preserve">The R codes and data files required to reproduce this analysis are available on</w:t>
      </w:r>
      <w:r>
        <w:t xml:space="preserve"> </w:t>
      </w:r>
      <w:hyperlink r:id="rId20">
        <w:r>
          <w:rPr>
            <w:rStyle w:val="Hyperlink"/>
          </w:rPr>
          <w:t xml:space="preserve">GitHub</w:t>
        </w:r>
      </w:hyperlink>
    </w:p>
    <w:p>
      <w:pPr>
        <w:numPr>
          <w:ilvl w:val="0"/>
          <w:numId w:val="1001"/>
        </w:numPr>
      </w:pPr>
      <w:r>
        <w:t xml:space="preserve">The</w:t>
      </w:r>
      <w:r>
        <w:t xml:space="preserve"> </w:t>
      </w:r>
      <w:r>
        <w:rPr>
          <w:rStyle w:val="VerbatimChar"/>
        </w:rPr>
        <w:t xml:space="preserve">data</w:t>
      </w:r>
      <w:r>
        <w:t xml:space="preserve"> </w:t>
      </w:r>
      <w:r>
        <w:t xml:space="preserve">folder contains the raw data (</w:t>
      </w:r>
      <w:r>
        <w:rPr>
          <w:rStyle w:val="VerbatimChar"/>
        </w:rPr>
        <w:t xml:space="preserve">data/raw-data</w:t>
      </w:r>
      <w:r>
        <w:t xml:space="preserve"> </w:t>
      </w:r>
      <w:r>
        <w:t xml:space="preserve">subfolder) and the processed data (</w:t>
      </w:r>
      <w:r>
        <w:rPr>
          <w:rStyle w:val="VerbatimChar"/>
        </w:rPr>
        <w:t xml:space="preserve">data/processed-data</w:t>
      </w:r>
      <w:r>
        <w:t xml:space="preserve"> </w:t>
      </w:r>
      <w:r>
        <w:t xml:space="preserve">subfolder).</w:t>
      </w:r>
    </w:p>
    <w:p>
      <w:pPr>
        <w:numPr>
          <w:ilvl w:val="0"/>
          <w:numId w:val="1001"/>
        </w:numPr>
      </w:pPr>
      <w:r>
        <w:t xml:space="preserve">The</w:t>
      </w:r>
      <w:r>
        <w:t xml:space="preserve"> </w:t>
      </w:r>
      <w:r>
        <w:rPr>
          <w:rStyle w:val="VerbatimChar"/>
        </w:rPr>
        <w:t xml:space="preserve">code</w:t>
      </w:r>
      <w:r>
        <w:t xml:space="preserve"> </w:t>
      </w:r>
      <w:r>
        <w:t xml:space="preserve">folder contains the R scripts for data processing (</w:t>
      </w:r>
      <w:r>
        <w:rPr>
          <w:rStyle w:val="VerbatimChar"/>
        </w:rPr>
        <w:t xml:space="preserve">code/processing-code</w:t>
      </w:r>
      <w:r>
        <w:t xml:space="preserve"> </w:t>
      </w:r>
      <w:r>
        <w:t xml:space="preserve">subfolder) and data analysis (</w:t>
      </w:r>
      <w:r>
        <w:rPr>
          <w:rStyle w:val="VerbatimChar"/>
        </w:rPr>
        <w:t xml:space="preserve">code/analysis-code</w:t>
      </w:r>
      <w:r>
        <w:t xml:space="preserve"> </w:t>
      </w:r>
      <w:r>
        <w:t xml:space="preserve">subfolder).</w:t>
      </w:r>
    </w:p>
    <w:p>
      <w:pPr>
        <w:numPr>
          <w:ilvl w:val="0"/>
          <w:numId w:val="1001"/>
        </w:numPr>
      </w:pPr>
      <w:r>
        <w:t xml:space="preserve">The</w:t>
      </w:r>
      <w:r>
        <w:t xml:space="preserve"> </w:t>
      </w:r>
      <w:r>
        <w:rPr>
          <w:rStyle w:val="VerbatimChar"/>
        </w:rPr>
        <w:t xml:space="preserve">results</w:t>
      </w:r>
      <w:r>
        <w:t xml:space="preserve"> </w:t>
      </w:r>
      <w:r>
        <w:t xml:space="preserve">folder contains code output, including tables (</w:t>
      </w:r>
      <w:r>
        <w:rPr>
          <w:rStyle w:val="VerbatimChar"/>
        </w:rPr>
        <w:t xml:space="preserve">results/tables</w:t>
      </w:r>
      <w:r>
        <w:t xml:space="preserve"> </w:t>
      </w:r>
      <w:r>
        <w:t xml:space="preserve">subfolder) and figures (</w:t>
      </w:r>
      <w:r>
        <w:rPr>
          <w:rStyle w:val="VerbatimChar"/>
        </w:rPr>
        <w:t xml:space="preserve">results/figures</w:t>
      </w:r>
      <w:r>
        <w:t xml:space="preserve"> </w:t>
      </w:r>
      <w:r>
        <w:t xml:space="preserve">subfolder).</w:t>
      </w:r>
    </w:p>
    <w:p>
      <w:pPr>
        <w:numPr>
          <w:ilvl w:val="0"/>
          <w:numId w:val="1001"/>
        </w:numPr>
      </w:pPr>
      <w:r>
        <w:t xml:space="preserve">The</w:t>
      </w:r>
      <w:r>
        <w:t xml:space="preserve"> </w:t>
      </w:r>
      <w:r>
        <w:rPr>
          <w:rStyle w:val="VerbatimChar"/>
        </w:rPr>
        <w:t xml:space="preserve">products</w:t>
      </w:r>
      <w:r>
        <w:t xml:space="preserve"> </w:t>
      </w:r>
      <w:r>
        <w:t xml:space="preserve">folder contains the project manuscript and the supplementary material.</w:t>
      </w:r>
    </w:p>
    <w:p>
      <w:pPr>
        <w:pStyle w:val="FirstParagraph"/>
      </w:pPr>
      <w:r>
        <w:t xml:space="preserve">The scripts in the GitHub repository should be run in the following order:</w:t>
      </w:r>
    </w:p>
    <w:p>
      <w:pPr>
        <w:numPr>
          <w:ilvl w:val="0"/>
          <w:numId w:val="1002"/>
        </w:numPr>
        <w:pStyle w:val="Compact"/>
      </w:pPr>
      <w:r>
        <w:t xml:space="preserve">processing-code.qmd</w:t>
      </w:r>
    </w:p>
    <w:p>
      <w:pPr>
        <w:numPr>
          <w:ilvl w:val="0"/>
          <w:numId w:val="1002"/>
        </w:numPr>
        <w:pStyle w:val="Compact"/>
      </w:pPr>
      <w:r>
        <w:t xml:space="preserve">exploratory-analysis.qmd</w:t>
      </w:r>
    </w:p>
    <w:p>
      <w:pPr>
        <w:numPr>
          <w:ilvl w:val="0"/>
          <w:numId w:val="1002"/>
        </w:numPr>
        <w:pStyle w:val="Compact"/>
      </w:pPr>
      <w:r>
        <w:t xml:space="preserve">statistical-analysis.qmd</w:t>
      </w:r>
    </w:p>
    <w:p>
      <w:pPr>
        <w:pStyle w:val="FirstParagraph"/>
      </w:pPr>
      <w:r>
        <w:t xml:space="preserve">Load the following R packages before running any code:</w:t>
      </w:r>
      <w:r>
        <w:t xml:space="preserve"> </w:t>
      </w:r>
      <w:r>
        <w:t xml:space="preserve">* here</w:t>
      </w:r>
      <w:r>
        <w:t xml:space="preserve"> </w:t>
      </w:r>
      <w:r>
        <w:t xml:space="preserve">* dplyr</w:t>
      </w:r>
      <w:r>
        <w:t xml:space="preserve"> </w:t>
      </w:r>
      <w:r>
        <w:t xml:space="preserve">* skimr</w:t>
      </w:r>
      <w:r>
        <w:t xml:space="preserve"> </w:t>
      </w:r>
      <w:r>
        <w:t xml:space="preserve">* survival</w:t>
      </w:r>
      <w:r>
        <w:t xml:space="preserve"> </w:t>
      </w:r>
      <w:r>
        <w:t xml:space="preserve">* survminer</w:t>
      </w:r>
      <w:r>
        <w:t xml:space="preserve"> </w:t>
      </w:r>
      <w:r>
        <w:t xml:space="preserve">* ggplot2</w:t>
      </w:r>
      <w:r>
        <w:t xml:space="preserve"> </w:t>
      </w:r>
      <w:r>
        <w:t xml:space="preserve">* tidyverse</w:t>
      </w:r>
      <w:r>
        <w:t xml:space="preserve"> </w:t>
      </w:r>
      <w:r>
        <w:t xml:space="preserve">* gtsummary</w:t>
      </w:r>
      <w:r>
        <w:t xml:space="preserve"> </w:t>
      </w:r>
      <w:r>
        <w:t xml:space="preserve">* knitr</w:t>
      </w:r>
      <w:r>
        <w:t xml:space="preserve"> </w:t>
      </w:r>
      <w:r>
        <w:t xml:space="preserve">* car</w:t>
      </w:r>
    </w:p>
    <w:p>
      <w:r>
        <w:br w:type="page"/>
      </w:r>
    </w:p>
    <w:bookmarkEnd w:id="21"/>
    <w:bookmarkStart w:id="25" w:name="distribution-of-survival-time"/>
    <w:p>
      <w:pPr>
        <w:pStyle w:val="Heading1"/>
      </w:pPr>
      <w:r>
        <w:t xml:space="preserve">2. Distribution of Survival Time</w:t>
      </w:r>
    </w:p>
    <w:p>
      <w:pPr>
        <w:pStyle w:val="FirstParagraph"/>
      </w:pPr>
      <w:r>
        <w:t xml:space="preserve">Figure 1. Histogram of survival time distribution in months.</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C:/Users/ranni/Desktop/MADA/Tewfik-MADA-project</w:t>
      </w:r>
    </w:p>
    <w:p>
      <w:pPr>
        <w:pStyle w:val="FirstParagraph"/>
      </w:pPr>
      <w:r>
        <w:drawing>
          <wp:inline>
            <wp:extent cx="5334000" cy="3292592"/>
            <wp:effectExtent b="0" l="0" r="0" t="0"/>
            <wp:docPr descr="" title="" id="23" name="Picture"/>
            <a:graphic>
              <a:graphicData uri="http://schemas.openxmlformats.org/drawingml/2006/picture">
                <pic:pic>
                  <pic:nvPicPr>
                    <pic:cNvPr descr="../results/figures/survtime_distribution.png" id="24" name="Picture"/>
                    <pic:cNvPicPr>
                      <a:picLocks noChangeArrowheads="1" noChangeAspect="1"/>
                    </pic:cNvPicPr>
                  </pic:nvPicPr>
                  <pic:blipFill>
                    <a:blip r:embed="rId22"/>
                    <a:stretch>
                      <a:fillRect/>
                    </a:stretch>
                  </pic:blipFill>
                  <pic:spPr bwMode="auto">
                    <a:xfrm>
                      <a:off x="0" y="0"/>
                      <a:ext cx="5334000" cy="3292592"/>
                    </a:xfrm>
                    <a:prstGeom prst="rect">
                      <a:avLst/>
                    </a:prstGeom>
                    <a:noFill/>
                    <a:ln w="9525">
                      <a:noFill/>
                      <a:headEnd/>
                      <a:tailEnd/>
                    </a:ln>
                  </pic:spPr>
                </pic:pic>
              </a:graphicData>
            </a:graphic>
          </wp:inline>
        </w:drawing>
      </w:r>
    </w:p>
    <w:p>
      <w:pPr>
        <w:pStyle w:val="BodyText"/>
      </w:pPr>
      <w:r>
        <w:t xml:space="preserve">The histogram for survival time in months shows a right-skewed (positively skewed) distribution in which the mean is greater than the median.</w:t>
      </w:r>
    </w:p>
    <w:p>
      <w:r>
        <w:br w:type="page"/>
      </w:r>
    </w:p>
    <w:bookmarkEnd w:id="25"/>
    <w:bookmarkStart w:id="29" w:name="X5e418de38d991c57a65fa19e12576e483b56c9e"/>
    <w:p>
      <w:pPr>
        <w:pStyle w:val="Heading1"/>
      </w:pPr>
      <w:r>
        <w:t xml:space="preserve">3. Ethnicity and Survival Time, Stratified by Mortality</w:t>
      </w:r>
    </w:p>
    <w:p>
      <w:pPr>
        <w:pStyle w:val="FirstParagraph"/>
      </w:pPr>
      <w:r>
        <w:t xml:space="preserve">Figure 2. Bar Chart of Ethnicity and Survival Time, Stratified by Mortality</w:t>
      </w:r>
    </w:p>
    <w:p>
      <w:pPr>
        <w:pStyle w:val="BodyText"/>
      </w:pPr>
      <w:r>
        <w:drawing>
          <wp:inline>
            <wp:extent cx="5334000" cy="5334000"/>
            <wp:effectExtent b="0" l="0" r="0" t="0"/>
            <wp:docPr descr="" title="" id="27" name="Picture"/>
            <a:graphic>
              <a:graphicData uri="http://schemas.openxmlformats.org/drawingml/2006/picture">
                <pic:pic>
                  <pic:nvPicPr>
                    <pic:cNvPr descr="../results/figures/ethnicity_survtime_death_barchart.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bar chart shows that for each ethnicity, the survival time in months was slightly lower among those with all-cause mortality (vs. no death) during the follow-up period of the prostate cancer patients. The difference in survival time is largest among the</w:t>
      </w:r>
      <w:r>
        <w:t xml:space="preserve"> </w:t>
      </w:r>
      <w:r>
        <w:t xml:space="preserve">“</w:t>
      </w:r>
      <w:r>
        <w:t xml:space="preserve">Other</w:t>
      </w:r>
      <w:r>
        <w:t xml:space="preserve">”</w:t>
      </w:r>
      <w:r>
        <w:t xml:space="preserve"> </w:t>
      </w:r>
      <w:r>
        <w:t xml:space="preserve">group.</w:t>
      </w:r>
    </w:p>
    <w:p>
      <w:r>
        <w:br w:type="page"/>
      </w:r>
    </w:p>
    <w:bookmarkEnd w:id="29"/>
    <w:bookmarkStart w:id="33" w:name="X7326fd2a3116fe17a0c2dab416cbaa1296451f4"/>
    <w:p>
      <w:pPr>
        <w:pStyle w:val="Heading1"/>
      </w:pPr>
      <w:r>
        <w:t xml:space="preserve">4. Mortality and Survival Time, Stratified by Ethnicity</w:t>
      </w:r>
    </w:p>
    <w:p>
      <w:pPr>
        <w:pStyle w:val="FirstParagraph"/>
      </w:pPr>
      <w:r>
        <w:t xml:space="preserve">Figure 3. Boxplot of Mortality and Survival Time, Stratified by Ethnicity.</w:t>
      </w:r>
    </w:p>
    <w:p>
      <w:pPr>
        <w:pStyle w:val="BodyText"/>
      </w:pPr>
      <w:r>
        <w:drawing>
          <wp:inline>
            <wp:extent cx="5334000" cy="5334000"/>
            <wp:effectExtent b="0" l="0" r="0" t="0"/>
            <wp:docPr descr="" title="" id="31" name="Picture"/>
            <a:graphic>
              <a:graphicData uri="http://schemas.openxmlformats.org/drawingml/2006/picture">
                <pic:pic>
                  <pic:nvPicPr>
                    <pic:cNvPr descr="../results/figures/death_survtime_ethnicity_boxplot.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boxplot shows that among those with all-cause mortality, the survival time in months is lower across all ethnicities compared to those without all-cause mortality. The survival time is about the same in all ethnicities among those with all-cause mortality, whereas the survival time is noticeable lower among</w:t>
      </w:r>
      <w:r>
        <w:t xml:space="preserve"> </w:t>
      </w:r>
      <w:r>
        <w:t xml:space="preserve">“</w:t>
      </w:r>
      <w:r>
        <w:t xml:space="preserve">Other</w:t>
      </w:r>
      <w:r>
        <w:t xml:space="preserve">”</w:t>
      </w:r>
      <w:r>
        <w:t xml:space="preserve"> </w:t>
      </w:r>
      <w:r>
        <w:t xml:space="preserve">and higher among</w:t>
      </w:r>
      <w:r>
        <w:t xml:space="preserve"> </w:t>
      </w:r>
      <w:r>
        <w:t xml:space="preserve">“</w:t>
      </w:r>
      <w:r>
        <w:t xml:space="preserve">White</w:t>
      </w:r>
      <w:r>
        <w:t xml:space="preserve">”</w:t>
      </w:r>
      <w:r>
        <w:t xml:space="preserve"> </w:t>
      </w:r>
      <w:r>
        <w:t xml:space="preserve">among thise without all-cause mortality.</w:t>
      </w:r>
    </w:p>
    <w:p>
      <w:r>
        <w:br w:type="page"/>
      </w:r>
    </w:p>
    <w:bookmarkEnd w:id="33"/>
    <w:bookmarkStart w:id="46" w:name="survival-curves"/>
    <w:p>
      <w:pPr>
        <w:pStyle w:val="Heading1"/>
      </w:pPr>
      <w:r>
        <w:t xml:space="preserve">5. Survival Curves</w:t>
      </w:r>
    </w:p>
    <w:p>
      <w:pPr>
        <w:pStyle w:val="FirstParagraph"/>
      </w:pPr>
      <w:r>
        <w:t xml:space="preserve">Figure 4. Kaplan-Meier survival curves for males in the U.S. with prostate cancer, stratified by age group.</w:t>
      </w:r>
    </w:p>
    <w:p>
      <w:pPr>
        <w:pStyle w:val="BodyText"/>
      </w:pPr>
      <w:r>
        <w:drawing>
          <wp:inline>
            <wp:extent cx="5334000" cy="5334000"/>
            <wp:effectExtent b="0" l="0" r="0" t="0"/>
            <wp:docPr descr="" title="" id="35" name="Picture"/>
            <a:graphic>
              <a:graphicData uri="http://schemas.openxmlformats.org/drawingml/2006/picture">
                <pic:pic>
                  <pic:nvPicPr>
                    <pic:cNvPr descr="../results/figures/survivalcurve_age.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Kaplan-Meier survival curves for males in the U.S. with prostate cancer, stratified by cancer stage.</w:t>
      </w:r>
    </w:p>
    <w:p>
      <w:pPr>
        <w:pStyle w:val="BodyText"/>
      </w:pPr>
      <w:r>
        <w:drawing>
          <wp:inline>
            <wp:extent cx="5334000" cy="5334000"/>
            <wp:effectExtent b="0" l="0" r="0" t="0"/>
            <wp:docPr descr="" title="" id="38" name="Picture"/>
            <a:graphic>
              <a:graphicData uri="http://schemas.openxmlformats.org/drawingml/2006/picture">
                <pic:pic>
                  <pic:nvPicPr>
                    <pic:cNvPr descr="../results/figures/survivalcurve_stage.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6. Kaplan-Meier survival curves for males in the U.S. with prostate cancer, stratified by education.</w:t>
      </w:r>
    </w:p>
    <w:p>
      <w:pPr>
        <w:pStyle w:val="BodyText"/>
      </w:pPr>
      <w:r>
        <w:drawing>
          <wp:inline>
            <wp:extent cx="5334000" cy="5334000"/>
            <wp:effectExtent b="0" l="0" r="0" t="0"/>
            <wp:docPr descr="" title="" id="41" name="Picture"/>
            <a:graphic>
              <a:graphicData uri="http://schemas.openxmlformats.org/drawingml/2006/picture">
                <pic:pic>
                  <pic:nvPicPr>
                    <pic:cNvPr descr="../results/figures/survivalcurve_education.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7. Kaplan-Meier survival curves for males in the U.S. with prostate cancer, stratified by family history of cancer.</w:t>
      </w:r>
    </w:p>
    <w:p>
      <w:pPr>
        <w:pStyle w:val="BodyText"/>
      </w:pPr>
      <w:r>
        <w:drawing>
          <wp:inline>
            <wp:extent cx="5334000" cy="5334000"/>
            <wp:effectExtent b="0" l="0" r="0" t="0"/>
            <wp:docPr descr="" title="" id="44" name="Picture"/>
            <a:graphic>
              <a:graphicData uri="http://schemas.openxmlformats.org/drawingml/2006/picture">
                <pic:pic>
                  <pic:nvPicPr>
                    <pic:cNvPr descr="../results/figures/survivalcurve_fhx.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survival curves show that older prostate cancer patients with distant cancer stage had lower survival than their younger counterparts with localized or regional stage. There seemed to be no difference in survival among the different educational attainment groups or family history of cancer groups.</w:t>
      </w:r>
    </w:p>
    <w:p>
      <w:r>
        <w:br w:type="page"/>
      </w:r>
    </w:p>
    <w:bookmarkEnd w:id="46"/>
    <w:bookmarkStart w:id="56" w:name="cox-proportional-hazards-assessment"/>
    <w:p>
      <w:pPr>
        <w:pStyle w:val="Heading1"/>
      </w:pPr>
      <w:r>
        <w:t xml:space="preserve">6. Cox Proportional Hazards Assessment</w:t>
      </w:r>
    </w:p>
    <w:p>
      <w:pPr>
        <w:pStyle w:val="FirstParagraph"/>
      </w:pPr>
      <w:r>
        <w:t xml:space="preserve">Figure 8. Log-log survival curve for ethnicity.</w:t>
      </w:r>
    </w:p>
    <w:p>
      <w:pPr>
        <w:pStyle w:val="BodyText"/>
      </w:pPr>
      <w:r>
        <w:drawing>
          <wp:inline>
            <wp:extent cx="5334000" cy="5334000"/>
            <wp:effectExtent b="0" l="0" r="0" t="0"/>
            <wp:docPr descr="" title="" id="48" name="Picture"/>
            <a:graphic>
              <a:graphicData uri="http://schemas.openxmlformats.org/drawingml/2006/picture">
                <pic:pic>
                  <pic:nvPicPr>
                    <pic:cNvPr descr="../results/figures/loglogcurve_ethnicity.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9. Log-log survival curve for age group.</w:t>
      </w:r>
    </w:p>
    <w:p>
      <w:pPr>
        <w:pStyle w:val="BodyText"/>
      </w:pPr>
      <w:r>
        <w:drawing>
          <wp:inline>
            <wp:extent cx="5334000" cy="5334000"/>
            <wp:effectExtent b="0" l="0" r="0" t="0"/>
            <wp:docPr descr="" title="" id="51" name="Picture"/>
            <a:graphic>
              <a:graphicData uri="http://schemas.openxmlformats.org/drawingml/2006/picture">
                <pic:pic>
                  <pic:nvPicPr>
                    <pic:cNvPr descr="../results/figures/loglogcurve_age.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10. Log-log survival curve for cancer stage.</w:t>
      </w:r>
    </w:p>
    <w:p>
      <w:pPr>
        <w:pStyle w:val="BodyText"/>
      </w:pPr>
      <w:r>
        <w:drawing>
          <wp:inline>
            <wp:extent cx="5334000" cy="5334000"/>
            <wp:effectExtent b="0" l="0" r="0" t="0"/>
            <wp:docPr descr="" title="" id="54" name="Picture"/>
            <a:graphic>
              <a:graphicData uri="http://schemas.openxmlformats.org/drawingml/2006/picture">
                <pic:pic>
                  <pic:nvPicPr>
                    <pic:cNvPr descr="../results/figures/loglogcurve_stage.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log-log survival curves are parallel for</w:t>
      </w:r>
      <w:r>
        <w:t xml:space="preserve"> </w:t>
      </w:r>
      <w:r>
        <w:t xml:space="preserve">“</w:t>
      </w:r>
      <w:r>
        <w:t xml:space="preserve">ethnicity</w:t>
      </w:r>
      <w:r>
        <w:t xml:space="preserve">”</w:t>
      </w:r>
      <w:r>
        <w:t xml:space="preserve">,</w:t>
      </w:r>
      <w:r>
        <w:t xml:space="preserve"> </w:t>
      </w:r>
      <w:r>
        <w:t xml:space="preserve">“</w:t>
      </w:r>
      <w:r>
        <w:t xml:space="preserve">agegroup</w:t>
      </w:r>
      <w:r>
        <w:t xml:space="preserve">”</w:t>
      </w:r>
      <w:r>
        <w:t xml:space="preserve">, and</w:t>
      </w:r>
      <w:r>
        <w:t xml:space="preserve"> </w:t>
      </w:r>
      <w:r>
        <w:t xml:space="preserve">“</w:t>
      </w:r>
      <w:r>
        <w:t xml:space="preserve">stage</w:t>
      </w:r>
      <w:r>
        <w:t xml:space="preserve">”</w:t>
      </w:r>
      <w:r>
        <w:t xml:space="preserve">, indicating that the Cox proportional hazards assumption is met for those variables.</w:t>
      </w:r>
    </w:p>
    <w:p>
      <w:r>
        <w:br w:type="page"/>
      </w:r>
    </w:p>
    <w:bookmarkEnd w:id="56"/>
    <w:bookmarkStart w:id="66" w:name="X7aa4a4f649b5aeb423bab8abdbd45a54e4a1010"/>
    <w:p>
      <w:pPr>
        <w:pStyle w:val="Heading1"/>
      </w:pPr>
      <w:r>
        <w:t xml:space="preserve">7. Unadjusted Cox Proportional Hazards Model</w:t>
      </w:r>
    </w:p>
    <w:p>
      <w:pPr>
        <w:pStyle w:val="FirstParagraph"/>
      </w:pPr>
      <w:r>
        <w:rPr>
          <w:iCs/>
          <w:i/>
        </w:rPr>
        <w:t xml:space="preserve">Table 1. Unadjusted hazard ratios and 95% confidence intervals for the effect of ethnicity on time to all-cause mortality among males in the U.S. with prostate cancer (SEER database).</w:t>
      </w:r>
    </w:p>
    <w:p>
      <w:pPr>
        <w:pStyle w:val="BodyText"/>
      </w:pPr>
      <w:r>
        <w:drawing>
          <wp:inline>
            <wp:extent cx="4613354" cy="1332542"/>
            <wp:effectExtent b="0" l="0" r="0" t="0"/>
            <wp:docPr descr="" title="" id="58" name="Picture"/>
            <a:graphic>
              <a:graphicData uri="http://schemas.openxmlformats.org/drawingml/2006/picture">
                <pic:pic>
                  <pic:nvPicPr>
                    <pic:cNvPr descr="../results/tables/simple_model_ethnicity_table_hr.png" id="59" name="Picture"/>
                    <pic:cNvPicPr>
                      <a:picLocks noChangeArrowheads="1" noChangeAspect="1"/>
                    </pic:cNvPicPr>
                  </pic:nvPicPr>
                  <pic:blipFill>
                    <a:blip r:embed="rId57"/>
                    <a:stretch>
                      <a:fillRect/>
                    </a:stretch>
                  </pic:blipFill>
                  <pic:spPr bwMode="auto">
                    <a:xfrm>
                      <a:off x="0" y="0"/>
                      <a:ext cx="4613354" cy="1332542"/>
                    </a:xfrm>
                    <a:prstGeom prst="rect">
                      <a:avLst/>
                    </a:prstGeom>
                    <a:noFill/>
                    <a:ln w="9525">
                      <a:noFill/>
                      <a:headEnd/>
                      <a:tailEnd/>
                    </a:ln>
                  </pic:spPr>
                </pic:pic>
              </a:graphicData>
            </a:graphic>
          </wp:inline>
        </w:drawing>
      </w:r>
    </w:p>
    <w:p>
      <w:pPr>
        <w:pStyle w:val="BodyText"/>
      </w:pPr>
      <w:r>
        <w:t xml:space="preserve">The rate of all-cause mortality was 1.10 times higher in Non-Hispanic Black males than Non-Hispanic White males (HR = 1.10; 95% CI = 1.08 – 1.11). Compared to Non-Hispanic White males, the hazard ratios were less than 1.00 and statistically significant for males who were Non-Hispanic Asian/Pacific Islander, Hispanic, and other race/ethnicity.</w:t>
      </w:r>
    </w:p>
    <w:p>
      <w:r>
        <w:br w:type="page"/>
      </w:r>
    </w:p>
    <w:p>
      <w:pPr>
        <w:pStyle w:val="BodyText"/>
      </w:pPr>
      <w:r>
        <w:rPr>
          <w:iCs/>
          <w:i/>
        </w:rPr>
        <w:t xml:space="preserve">Table 2. Unadjusted hazard ratios and 95% confidence intervals for the effect of age on time to all-cause mortality among males in the U.S. with prostate cancer (SEER database).</w:t>
      </w:r>
    </w:p>
    <w:p>
      <w:pPr>
        <w:pStyle w:val="BodyText"/>
      </w:pPr>
      <w:r>
        <w:drawing>
          <wp:inline>
            <wp:extent cx="4613354" cy="1415252"/>
            <wp:effectExtent b="0" l="0" r="0" t="0"/>
            <wp:docPr descr="" title="" id="61" name="Picture"/>
            <a:graphic>
              <a:graphicData uri="http://schemas.openxmlformats.org/drawingml/2006/picture">
                <pic:pic>
                  <pic:nvPicPr>
                    <pic:cNvPr descr="../results/tables/simple_model_agegroup_table_hr.png" id="62" name="Picture"/>
                    <pic:cNvPicPr>
                      <a:picLocks noChangeArrowheads="1" noChangeAspect="1"/>
                    </pic:cNvPicPr>
                  </pic:nvPicPr>
                  <pic:blipFill>
                    <a:blip r:embed="rId60"/>
                    <a:stretch>
                      <a:fillRect/>
                    </a:stretch>
                  </pic:blipFill>
                  <pic:spPr bwMode="auto">
                    <a:xfrm>
                      <a:off x="0" y="0"/>
                      <a:ext cx="4613354" cy="1415252"/>
                    </a:xfrm>
                    <a:prstGeom prst="rect">
                      <a:avLst/>
                    </a:prstGeom>
                    <a:noFill/>
                    <a:ln w="9525">
                      <a:noFill/>
                      <a:headEnd/>
                      <a:tailEnd/>
                    </a:ln>
                  </pic:spPr>
                </pic:pic>
              </a:graphicData>
            </a:graphic>
          </wp:inline>
        </w:drawing>
      </w:r>
    </w:p>
    <w:p>
      <w:pPr>
        <w:pStyle w:val="BodyText"/>
      </w:pPr>
      <w:r>
        <w:t xml:space="preserve">The rate of all-cause mortality was 16.63 times higher in males age 80+ years than males younger than 50 years (HR = 16.63; 95% CI = 15.86 – 17.45). Compared to males younger than 50 years, the hazard ratios were greater than 1.00 and statistically significant for males 50 years or older.</w:t>
      </w:r>
    </w:p>
    <w:p>
      <w:r>
        <w:br w:type="page"/>
      </w:r>
    </w:p>
    <w:p>
      <w:pPr>
        <w:pStyle w:val="BodyText"/>
      </w:pPr>
      <w:r>
        <w:rPr>
          <w:iCs/>
          <w:i/>
        </w:rPr>
        <w:t xml:space="preserve">Table 3. Unadjusted hazard ratios and 95% confidence intervals for the effect of cancer stage on time to all-cause mortality among males in the U.S. with prostate cancer (SEER database).</w:t>
      </w:r>
    </w:p>
    <w:p>
      <w:pPr>
        <w:pStyle w:val="BodyText"/>
      </w:pPr>
      <w:r>
        <w:drawing>
          <wp:inline>
            <wp:extent cx="4613354" cy="873045"/>
            <wp:effectExtent b="0" l="0" r="0" t="0"/>
            <wp:docPr descr="" title="" id="64" name="Picture"/>
            <a:graphic>
              <a:graphicData uri="http://schemas.openxmlformats.org/drawingml/2006/picture">
                <pic:pic>
                  <pic:nvPicPr>
                    <pic:cNvPr descr="../results/tables/simple_model_stage_table_hr.png" id="65" name="Picture"/>
                    <pic:cNvPicPr>
                      <a:picLocks noChangeArrowheads="1" noChangeAspect="1"/>
                    </pic:cNvPicPr>
                  </pic:nvPicPr>
                  <pic:blipFill>
                    <a:blip r:embed="rId63"/>
                    <a:stretch>
                      <a:fillRect/>
                    </a:stretch>
                  </pic:blipFill>
                  <pic:spPr bwMode="auto">
                    <a:xfrm>
                      <a:off x="0" y="0"/>
                      <a:ext cx="4613354" cy="873045"/>
                    </a:xfrm>
                    <a:prstGeom prst="rect">
                      <a:avLst/>
                    </a:prstGeom>
                    <a:noFill/>
                    <a:ln w="9525">
                      <a:noFill/>
                      <a:headEnd/>
                      <a:tailEnd/>
                    </a:ln>
                  </pic:spPr>
                </pic:pic>
              </a:graphicData>
            </a:graphic>
          </wp:inline>
        </w:drawing>
      </w:r>
    </w:p>
    <w:p>
      <w:pPr>
        <w:pStyle w:val="BodyText"/>
      </w:pPr>
      <w:r>
        <w:t xml:space="preserve">The rate of all-cause mortality was 10.06 times higher in males with distant cancer stage than males with localized cancer stage (HR = 10.06; 95% CI = 9.93 - 10.19). Compared to males with localized cancer stage, the rate of all-cause mortality was 0.81 times the corresponding rate in males with regional cancer stage (HR = 0.81; 95% CI = 0.80 - 0.83).</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hyperlink" Id="rId20" Target="https://github.com/rtewfik/Tewfik-MADA-projec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tewfik/Tewfik-MAD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Suplementary Material</dc:title>
  <dc:creator>Ranni Tewfik</dc:creator>
  <cp:keywords/>
  <dcterms:created xsi:type="dcterms:W3CDTF">2024-05-03T17:22:31Z</dcterms:created>
  <dcterms:modified xsi:type="dcterms:W3CDTF">2024-05-03T17:22:31Z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2024-05-03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