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  <w:jc w:val="left"/>
      </w:pPr>
      <w:r>
        <w:t>Impilo vNext Product, Capability and Plane Architecture</w:t>
      </w:r>
    </w:p>
    <w:p>
      <w:r>
        <w:rPr>
          <w:rFonts w:ascii="Tahoma" w:hAnsi="Tahoma"/>
          <w:b/>
          <w:color w:val="0B6F73"/>
          <w:sz w:val="26"/>
        </w:rPr>
        <w:t>Version 2.0 - Controlled Successor Draft</w:t>
      </w:r>
    </w:p>
    <w:p>
      <w:r>
        <w:rPr>
          <w:rFonts w:ascii="Tahoma" w:hAnsi="Tahoma"/>
          <w:b/>
          <w:color w:val="9C5700"/>
          <w:sz w:val="20"/>
        </w:rPr>
        <w:t>Status: Supersedes vNext V3 v1.2 as a controlling architecture; pending ratification after Target Architecture v1.3.2.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Tahoma" w:hAnsi="Tahoma"/>
                <w:b/>
                <w:color w:val="17324D"/>
                <w:sz w:val="18"/>
              </w:rPr>
              <w:t>DOCUMENT AUTHORITY</w:t>
              <w:br/>
            </w:r>
            <w:r>
              <w:rPr>
                <w:rFonts w:ascii="Tahoma" w:hAnsi="Tahoma"/>
                <w:sz w:val="18"/>
              </w:rPr>
              <w:t>This document is subordinate to the Impilo vNext Hybrid / Federated Target Architecture. Where any conflict exists, the controlling target architecture and its ADRs prevail. This successor draft becomes frozen only after the pending v1.3.2 experience-integrity correction is ratified.</w:t>
            </w:r>
          </w:p>
        </w:tc>
      </w:tr>
    </w:tbl>
    <w:p>
      <w:pPr>
        <w:spacing w:after="0"/>
      </w:pPr>
    </w:p>
    <w:p>
      <w:r>
        <w:rPr>
          <w:i/>
          <w:color w:val="68737D"/>
          <w:sz w:val="17"/>
        </w:rPr>
        <w:t>Source lineage: vNext V3 v1.2 (Rewritten Canonical - Production-Grade) + Hybrid / Federated Target Architecture v1.3.1.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504"/>
      </w:pPr>
      <w:r>
        <w:rPr>
          <w:b w:val="0"/>
        </w:rPr>
        <w:t>1. Document purpose and authority</w:t>
      </w:r>
    </w:p>
    <w:p>
      <w:pPr>
        <w:ind w:left="504"/>
      </w:pPr>
      <w:r>
        <w:rPr>
          <w:b w:val="0"/>
        </w:rPr>
        <w:t>2. Product vision and scope</w:t>
      </w:r>
    </w:p>
    <w:p>
      <w:pPr>
        <w:ind w:left="504"/>
      </w:pPr>
      <w:r>
        <w:rPr>
          <w:b w:val="0"/>
        </w:rPr>
        <w:t>3. Architecture mental model</w:t>
      </w:r>
    </w:p>
    <w:p>
      <w:pPr>
        <w:ind w:left="504"/>
      </w:pPr>
      <w:r>
        <w:rPr>
          <w:b w:val="0"/>
        </w:rPr>
        <w:t>4. Rings: dependency and maturity, not deployment</w:t>
      </w:r>
    </w:p>
    <w:p>
      <w:pPr>
        <w:ind w:left="504"/>
      </w:pPr>
      <w:r>
        <w:rPr>
          <w:b w:val="0"/>
        </w:rPr>
        <w:t>5. Named products and deployment relationship</w:t>
      </w:r>
    </w:p>
    <w:p>
      <w:pPr>
        <w:ind w:left="504"/>
      </w:pPr>
      <w:r>
        <w:rPr>
          <w:b w:val="0"/>
        </w:rPr>
        <w:t>6. Capability architecture by plane</w:t>
      </w:r>
    </w:p>
    <w:p>
      <w:pPr>
        <w:ind w:left="504"/>
      </w:pPr>
      <w:r>
        <w:rPr>
          <w:b w:val="0"/>
        </w:rPr>
        <w:t>7. Cross-plane product laws</w:t>
      </w:r>
    </w:p>
    <w:p>
      <w:pPr>
        <w:ind w:left="504"/>
      </w:pPr>
      <w:r>
        <w:rPr>
          <w:b w:val="0"/>
        </w:rPr>
        <w:t>8. Experience architecture interface</w:t>
      </w:r>
    </w:p>
    <w:p>
      <w:pPr>
        <w:ind w:left="504"/>
      </w:pPr>
      <w:r>
        <w:rPr>
          <w:b w:val="0"/>
        </w:rPr>
        <w:t>9. Ecosystem and dual-mode participation</w:t>
      </w:r>
    </w:p>
    <w:p>
      <w:pPr>
        <w:ind w:left="504"/>
      </w:pPr>
      <w:r>
        <w:rPr>
          <w:b w:val="0"/>
        </w:rPr>
        <w:t>10. Production readiness and evidence</w:t>
      </w:r>
    </w:p>
    <w:p>
      <w:pPr>
        <w:ind w:left="504"/>
      </w:pPr>
      <w:r>
        <w:rPr>
          <w:b w:val="0"/>
        </w:rPr>
        <w:t>11. Product governance</w:t>
      </w:r>
    </w:p>
    <w:p>
      <w:pPr>
        <w:ind w:left="504"/>
      </w:pPr>
      <w:r>
        <w:rPr>
          <w:b w:val="0"/>
        </w:rPr>
        <w:t>Appendix A. Legacy V3 disposition register</w:t>
      </w:r>
    </w:p>
    <w:p>
      <w:pPr>
        <w:ind w:left="504"/>
      </w:pPr>
      <w:r>
        <w:rPr>
          <w:b w:val="0"/>
        </w:rPr>
        <w:t>Appendix B. Document hierarchy</w:t>
      </w:r>
    </w:p>
    <w:p>
      <w:r>
        <w:br w:type="page"/>
      </w:r>
    </w:p>
    <w:p>
      <w:pPr>
        <w:pStyle w:val="Heading1"/>
      </w:pPr>
      <w:r>
        <w:t>1. Document purpose and authority</w:t>
      </w:r>
    </w:p>
    <w:p>
      <w:r>
        <w:t>This document defines what Impilo vNext is as a national product: its planes, capability families, named products, ownership boundaries, maturity rings, and reusable platform principles. It replaces the former vNext V3 architectural definition as the authoritative product-and-capability layer.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r>
              <w:rPr>
                <w:rFonts w:ascii="Tahoma" w:hAnsi="Tahoma"/>
                <w:b/>
                <w:color w:val="17324D"/>
                <w:sz w:val="18"/>
              </w:rPr>
              <w:t>SUPERSESSION NOTICE</w:t>
              <w:br/>
            </w:r>
            <w:r>
              <w:rPr>
                <w:rFonts w:ascii="Tahoma" w:hAnsi="Tahoma"/>
                <w:sz w:val="18"/>
              </w:rPr>
              <w:t>The former “Impilo vNext: National Health Operating System - Architectural Definition &amp; Implementation Standard, Version 1.2” is retained as a historical design baseline. It is superseded as a controlling architecture. Content survives only where this successor explicitly retains or amends it.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Document layer</w:t>
            </w:r>
          </w:p>
        </w:tc>
        <w:tc>
          <w:tcPr>
            <w:tcW w:type="dxa" w:w="4752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Question answered</w:t>
            </w:r>
          </w:p>
        </w:tc>
        <w:tc>
          <w:tcPr>
            <w:tcW w:type="dxa" w:w="316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Controlling artefact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Target architecture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Where capabilities run, whose authority applies, how nodes federate, how organisations consume services, and how experience is resolved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Hybrid / Federated Target Architecture</w:t>
            </w:r>
          </w:p>
        </w:tc>
      </w:tr>
      <w:tr>
        <w:tc>
          <w:tcPr>
            <w:tcW w:type="dxa" w:w="201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Product architecture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What Impilo contains and how capabilities fit together</w:t>
            </w:r>
          </w:p>
        </w:tc>
        <w:tc>
          <w:tcPr>
            <w:tcW w:type="dxa" w:w="316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This document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Technical standards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How APIs, events, trust context, FHIR, federation and operations conform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Technical Standards Catalogue</w:t>
            </w:r>
          </w:p>
        </w:tc>
      </w:tr>
      <w:tr>
        <w:tc>
          <w:tcPr>
            <w:tcW w:type="dxa" w:w="201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Domain and experience specifications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How each domain and journey behaves in detail</w:t>
            </w:r>
          </w:p>
        </w:tc>
        <w:tc>
          <w:tcPr>
            <w:tcW w:type="dxa" w:w="316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 Completion Packs, clinical packs, regulatory packs and domain specifications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Implementation artefacts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How conformance is expressed in code and operations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ADRs, OpenAPI, AsyncAPI, JSON Schema, migrations, policies, Helm profiles, tests and runbooks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vision and scope</w:t>
      </w:r>
    </w:p>
    <w:p>
      <w:r>
        <w:t>Impilo vNext is Zimbabwe’s sovereign National Health Operating System: a governed digital public infrastructure for health identity, trust, clinical care, public health, financing, logistics, intelligence, interoperability and user experience. It serves public, private, mission, local-authority, academic, security-sensitive and other accredited participants through one product and multiple governed profiles.</w:t>
      </w:r>
    </w:p>
    <w:p>
      <w:pPr>
        <w:pStyle w:val="ListBullet"/>
        <w:spacing w:after="40"/>
      </w:pPr>
      <w:r>
        <w:t>One national product, not a collection of unrelated apps.</w:t>
      </w:r>
    </w:p>
    <w:p>
      <w:pPr>
        <w:pStyle w:val="ListBullet"/>
        <w:spacing w:after="40"/>
      </w:pPr>
      <w:r>
        <w:t>One codebase and signed artefact set, with declared profile-specific behaviour rather than forks.</w:t>
      </w:r>
    </w:p>
    <w:p>
      <w:pPr>
        <w:pStyle w:val="ListBullet"/>
        <w:spacing w:after="40"/>
      </w:pPr>
      <w:r>
        <w:t>National truth where national authority is required; local operational authority where care is delivered.</w:t>
      </w:r>
    </w:p>
    <w:p>
      <w:pPr>
        <w:pStyle w:val="ListBullet"/>
        <w:spacing w:after="40"/>
      </w:pPr>
      <w:r>
        <w:t>Public-health, payer, clinical and operational capabilities reuse shared primitives rather than rebuilding identity, registries, terminology, audit or workflow foundations.</w:t>
      </w:r>
    </w:p>
    <w:p>
      <w:pPr>
        <w:pStyle w:val="ListBullet"/>
        <w:spacing w:after="40"/>
      </w:pPr>
      <w:r>
        <w:t>Human users experience the platform through intention-led, audience-bound journeys rather than architecture vocabulary.</w:t>
      </w:r>
    </w:p>
    <w:p>
      <w:pPr>
        <w:pStyle w:val="Heading2"/>
      </w:pPr>
      <w:r>
        <w:t>2.1 Scope boundary</w:t>
      </w:r>
    </w:p>
    <w:p>
      <w:r>
        <w:t>This document does not duplicate federation schemas, trust-domain law, node commissioning, session contracts, detailed user journeys or wire protocols. It defines the capability portfolio and points to the controlling artefact for those concerns.</w:t>
      </w:r>
    </w:p>
    <w:p>
      <w:pPr>
        <w:pStyle w:val="Heading1"/>
      </w:pPr>
      <w:r>
        <w:t>3. Architecture mental model</w:t>
      </w:r>
    </w:p>
    <w:p>
      <w:r>
        <w:t>The product is organised into seven capability planes. Integration and execution/resilience are cross-cutting frameworks rather than additional business planes. The Experience Plane composes the others but does not become a source of truth for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Plane</w:t>
            </w:r>
          </w:p>
        </w:tc>
        <w:tc>
          <w:tcPr>
            <w:tcW w:type="dxa" w:w="460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Mandate</w:t>
            </w:r>
          </w:p>
        </w:tc>
        <w:tc>
          <w:tcPr>
            <w:tcW w:type="dxa" w:w="388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Representative capability family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Kernel - Trust &amp; Truth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Identity, consent, policy, registries, terminology, catalogues, longitudinal record primitives, audit, keys and authority anchors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TSHEPO, VITO, VARAPI, TUSO, INDAWO, MSIKA, ZIBO, BUTANO, UBOMI, MUSHEX and mandatory platform primitives</w:t>
            </w:r>
          </w:p>
        </w:tc>
      </w:tr>
      <w:tr>
        <w:tc>
          <w:tcPr>
            <w:tcW w:type="dxa" w:w="216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Clinical - Care Execution</w:t>
            </w:r>
          </w:p>
        </w:tc>
        <w:tc>
          <w:tcPr>
            <w:tcW w:type="dxa" w:w="460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Arrival, encounters, triage, orders, results, referrals, inpatient, theatre, maternity, telemedicine and care pathways</w:t>
            </w:r>
          </w:p>
        </w:tc>
        <w:tc>
          <w:tcPr>
            <w:tcW w:type="dxa" w:w="388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PCT, OROS, diagnostic and departmental modules, telemedicine execution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Public Health, Data &amp; Governance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Surveillance, inspections, complaints, incidents, campaigns, oversight, data stewardship, analytics and research controls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Reusable operational objects and jurisdiction packs</w:t>
            </w:r>
          </w:p>
        </w:tc>
      </w:tr>
      <w:tr>
        <w:tc>
          <w:tcPr>
            <w:tcW w:type="dxa" w:w="216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Coverage, Financing &amp; Payer</w:t>
            </w:r>
          </w:p>
        </w:tc>
        <w:tc>
          <w:tcPr>
            <w:tcW w:type="dxa" w:w="460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Membership, benefits, eligibility, contracting, preauthorization, claims, contributions, remittance, settlement and disputes</w:t>
            </w:r>
          </w:p>
        </w:tc>
        <w:tc>
          <w:tcPr>
            <w:tcW w:type="dxa" w:w="388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Coverage services, Ruvimbo surfaces, COSTA/MUSHEX and payer workspaces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Supply, Assets &amp; Logistics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Medicines, stock, procurement, dispatch, devices, equipment and asset operations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Dura, Nhume, Madi and related supply capabilities</w:t>
            </w:r>
          </w:p>
        </w:tc>
      </w:tr>
      <w:tr>
        <w:tc>
          <w:tcPr>
            <w:tcW w:type="dxa" w:w="216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Intelligence, Automation &amp; AI</w:t>
            </w:r>
          </w:p>
        </w:tc>
        <w:tc>
          <w:tcPr>
            <w:tcW w:type="dxa" w:w="460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Governed analytics, prediction, summarisation, anomaly detection, recommendation, optimisation and model governance</w:t>
            </w:r>
          </w:p>
        </w:tc>
        <w:tc>
          <w:tcPr>
            <w:tcW w:type="dxa" w:w="388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Model registry, inference gateway, feature views, monitoring and explanation/override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Experience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Public front door, My Life, My Professional, Work, administration, regulation, commissioning, Nompilo, notifications and help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Experience resolver, One UI shell, citizen/provider apps and Experience Completion Packs</w:t>
            </w:r>
          </w:p>
        </w:tc>
      </w:tr>
    </w:tbl>
    <w:p>
      <w:pPr>
        <w:spacing w:after="0"/>
      </w:pPr>
    </w:p>
    <w:p>
      <w:pPr>
        <w:pStyle w:val="Heading2"/>
      </w:pPr>
      <w:r>
        <w:t>3.1 Cross-cutting frameworks</w:t>
      </w:r>
    </w:p>
    <w:p>
      <w:pPr>
        <w:pStyle w:val="ListBullet"/>
        <w:spacing w:after="40"/>
      </w:pPr>
      <w:r>
        <w:t>Integration framework: stable internal and external contracts, FHIR and other standards, developer portal, certification and ecosystem onboarding.</w:t>
      </w:r>
    </w:p>
    <w:p>
      <w:pPr>
        <w:pStyle w:val="ListBullet"/>
        <w:spacing w:after="40"/>
      </w:pPr>
      <w:r>
        <w:t>Execution and resilience framework: node profiles, offline execution, observability, security hardening, support, release governance, backup and disaster recovery.</w:t>
      </w:r>
    </w:p>
    <w:p>
      <w:pPr>
        <w:pStyle w:val="ListBullet"/>
        <w:spacing w:after="40"/>
      </w:pPr>
      <w:r>
        <w:t>Configuration framework: trust domain -&gt; organisation -&gt; node -&gt; facility -&gt; department -&gt; service point, with versioned jurisdiction and capability packs.</w:t>
      </w:r>
    </w:p>
    <w:p>
      <w:pPr>
        <w:pStyle w:val="Heading1"/>
      </w:pPr>
      <w:r>
        <w:t>4. Rings: dependency and maturity, not deployment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4"/>
          </w:tcPr>
          <w:p>
            <w:r>
              <w:rPr>
                <w:rFonts w:ascii="Tahoma" w:hAnsi="Tahoma"/>
                <w:b/>
                <w:color w:val="17324D"/>
                <w:sz w:val="18"/>
              </w:rPr>
              <w:t>RING RULE</w:t>
              <w:br/>
            </w:r>
            <w:r>
              <w:rPr>
                <w:rFonts w:ascii="Tahoma" w:hAnsi="Tahoma"/>
                <w:sz w:val="18"/>
              </w:rPr>
              <w:t>Rings describe capability dependency, stability, evidence and release discipline. Profiles describe deployment. Trust domains describe authority. A Ring 0 component may be national authority, a node-local projection, a local enforcement component or a signed cache without becoming a second National Core.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Ring</w:t>
            </w:r>
          </w:p>
        </w:tc>
        <w:tc>
          <w:tcPr>
            <w:tcW w:type="dxa" w:w="288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432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Representative scope</w:t>
            </w:r>
          </w:p>
        </w:tc>
        <w:tc>
          <w:tcPr>
            <w:tcW w:type="dxa" w:w="288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Exit evidence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Ring 0 - Trust, truth and platform primitives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Establish national and federated authority foundations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Trust, registries, terminology, audit, key management, governed FHIR, schema registry, contract harness, federation identity, finance rail baseline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Policy enforcement, provenance, contracts, audit, backup/restore and compatibility gates proven</w:t>
            </w:r>
          </w:p>
        </w:tc>
      </w:tr>
      <w:tr>
        <w:tc>
          <w:tcPr>
            <w:tcW w:type="dxa" w:w="187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Ring 1 - National care and financing steel threads</w:t>
            </w:r>
          </w:p>
        </w:tc>
        <w:tc>
          <w:tcPr>
            <w:tcW w:type="dxa" w:w="288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Prove end-to-end care and finance execution</w:t>
            </w:r>
          </w:p>
        </w:tc>
        <w:tc>
          <w:tcPr>
            <w:tcW w:type="dxa" w:w="43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PCT, orders/results, referral, scheduling, basic inpatient, eligibility, claims, preauthorisation, remittance and self-service baseline</w:t>
            </w:r>
          </w:p>
        </w:tc>
        <w:tc>
          <w:tcPr>
            <w:tcW w:type="dxa" w:w="288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Care -&gt; record -&gt; eligibility -&gt; claim -&gt; settlement and offline care drills pass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Ring 2 - Scale, public health and intelligence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Expand operations without destabilising core care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Public-health operations, advanced workflow/content, analytics, supply ecosystems, research governance, advanced AI and integrity controls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Independent scaling, governed data access and field-proven workflows</w:t>
            </w:r>
          </w:p>
        </w:tc>
      </w:tr>
    </w:tbl>
    <w:p>
      <w:pPr>
        <w:spacing w:after="0"/>
      </w:pPr>
    </w:p>
    <w:p>
      <w:r>
        <w:t>Ring sequencing permits minimum enabling dependencies. Forms, workflow, notification and assistive intelligence needed for a safe Ring 1 journey may be delivered at baseline maturity before their broader Ring 2 platform is complete.</w:t>
      </w:r>
    </w:p>
    <w:p>
      <w:pPr>
        <w:pStyle w:val="Heading1"/>
      </w:pPr>
      <w:r>
        <w:t>5. Named products and deployment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Named product</w:t>
            </w:r>
          </w:p>
        </w:tc>
        <w:tc>
          <w:tcPr>
            <w:tcW w:type="dxa" w:w="352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Product role</w:t>
            </w:r>
          </w:p>
        </w:tc>
        <w:tc>
          <w:tcPr>
            <w:tcW w:type="dxa" w:w="5112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Capability relationship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National Core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National federation hub and national systems of record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Hosts national authority, ecosystem services, national experiences and federation coordination</w:t>
            </w:r>
          </w:p>
        </w:tc>
      </w:tr>
      <w:tr>
        <w:tc>
          <w:tcPr>
            <w:tcW w:type="dxa" w:w="223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Hospital Node</w:t>
            </w:r>
          </w:p>
        </w:tc>
        <w:tc>
          <w:tcPr>
            <w:tcW w:type="dxa" w:w="35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Federation-autonomous clinical instance for an institution and one or more facilities</w:t>
            </w:r>
          </w:p>
        </w:tc>
        <w:tc>
          <w:tcPr>
            <w:tcW w:type="dxa" w:w="511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Runs local operational care, node trust enforcement and declared local capabilities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Federation Gateway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Only sanctioned cross-site exchange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Moves signed, versioned envelopes over mTLS; never raw cross-site Kafka or database replication</w:t>
            </w:r>
          </w:p>
        </w:tc>
      </w:tr>
      <w:tr>
        <w:tc>
          <w:tcPr>
            <w:tcW w:type="dxa" w:w="223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Tshepo Local Enforcement Node</w:t>
            </w:r>
          </w:p>
        </w:tc>
        <w:tc>
          <w:tcPr>
            <w:tcW w:type="dxa" w:w="35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Node-local trust plane</w:t>
            </w:r>
          </w:p>
        </w:tc>
        <w:tc>
          <w:tcPr>
            <w:tcW w:type="dxa" w:w="511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Envoy PEP, local PDP/OPA, bundle agent, session context and local audit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Fleet &amp; Release Service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National node operations plane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Node registry, health, certificates, capabilities, releases and upgrade rings</w:t>
            </w:r>
          </w:p>
        </w:tc>
      </w:tr>
      <w:tr>
        <w:tc>
          <w:tcPr>
            <w:tcW w:type="dxa" w:w="223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Node Bootstrap Agent</w:t>
            </w:r>
          </w:p>
        </w:tc>
        <w:tc>
          <w:tcPr>
            <w:tcW w:type="dxa" w:w="35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Transient signed installer and enrolment agent</w:t>
            </w:r>
          </w:p>
        </w:tc>
        <w:tc>
          <w:tcPr>
            <w:tcW w:type="dxa" w:w="511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Consumes a Bootstrap Manifest; does not create institutional authority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Facility Edge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Reduced continuity profile for smaller facilities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Local capture, cache and store-and-forward within a declared limited scope</w:t>
            </w:r>
          </w:p>
        </w:tc>
      </w:tr>
    </w:tbl>
    <w:p>
      <w:pPr>
        <w:spacing w:after="0"/>
      </w:pPr>
    </w:p>
    <w:p>
      <w:r>
        <w:t>Service-consumption profiles, compute locality, site continuity and trust-domain authority are defined only in the controlling Target Architecture. Product architecture must never infer ownership or access from where software is hosted.</w:t>
      </w:r>
    </w:p>
    <w:p>
      <w:pPr>
        <w:pStyle w:val="Heading1"/>
      </w:pPr>
      <w:r>
        <w:t>6. Capability architecture by plane</w:t>
      </w:r>
    </w:p>
    <w:p>
      <w:pPr>
        <w:pStyle w:val="Heading2"/>
      </w:pPr>
      <w:r>
        <w:t>6.1 Kernel - Trust &amp;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4752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Canonical responsibility</w:t>
            </w:r>
          </w:p>
        </w:tc>
        <w:tc>
          <w:tcPr>
            <w:tcW w:type="dxa" w:w="4176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Boundary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TSHEPO trust layer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Identity, authentication, policy decision and enforcement, consent, delegation, context, federation trust, sessions, audit and risk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TSHEPO is a trust layer containing Keycloak, OPA, Envoy, Mvumo and supporting components; it is not one monolithic service</w:t>
            </w:r>
          </w:p>
        </w:tc>
      </w:tr>
      <w:tr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VITO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Client identity, Health ID, deduplication, merge and linkage</w:t>
            </w:r>
          </w:p>
        </w:tc>
        <w:tc>
          <w:tcPr>
            <w:tcW w:type="dxa" w:w="417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Separates identity truth from clinical workflow; cross-domain linkage is governed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VARAPI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Provider identity, standing, qualifications, scope, restrictions and regulatory truth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Employer Work receives only the minimum authorised standing projection</w:t>
            </w:r>
          </w:p>
        </w:tc>
      </w:tr>
      <w:tr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TUSO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Clinical and service-delivery facility registry</w:t>
            </w:r>
          </w:p>
        </w:tc>
        <w:tc>
          <w:tcPr>
            <w:tcW w:type="dxa" w:w="417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Facility identity is stable when deployment routing changes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INDAWO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Non-clinical regulated premises and public-health sites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Do not force premises into the facility model when semantics do not fit</w:t>
            </w:r>
          </w:p>
        </w:tc>
      </w:tr>
      <w:tr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MSIKA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Products, services, orderables, billables, tariffs and benefit references</w:t>
            </w:r>
          </w:p>
        </w:tc>
        <w:tc>
          <w:tcPr>
            <w:tcW w:type="dxa" w:w="417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One service with separately authorised personal, professional and Work surfaces where applicable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ZIBO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Terminology, value sets, maps, confidentiality vocabularies and semantic governance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Versioned bundles support node-local execution</w:t>
            </w:r>
          </w:p>
        </w:tc>
      </w:tr>
      <w:tr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BUTANO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Governed FHIR projections and longitudinal memory</w:t>
            </w:r>
          </w:p>
        </w:tc>
        <w:tc>
          <w:tcPr>
            <w:tcW w:type="dxa" w:w="417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Origin authority remains with the source fact; projections never silently overwrite origin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UBOMI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Births, deaths and civil-registration interface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Reconciliation rather than hidden identity replacement</w:t>
            </w:r>
          </w:p>
        </w:tc>
      </w:tr>
      <w:tr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MUSHEX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Finance switching, authorisation, remittance, settlement and reconciliation rails</w:t>
            </w:r>
          </w:p>
        </w:tc>
        <w:tc>
          <w:tcPr>
            <w:tcW w:type="dxa" w:w="417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Irreversible financial actions require authoritative proof and reversibility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Mandatory primitives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Schema registry, contract tests, audit ledger, KMS/HSM integration, developer portal and AI governance registry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These are operating foundations, not deferred conveniences</w:t>
            </w:r>
          </w:p>
        </w:tc>
      </w:tr>
    </w:tbl>
    <w:p>
      <w:pPr>
        <w:spacing w:after="0"/>
      </w:pPr>
    </w:p>
    <w:p>
      <w:pPr>
        <w:pStyle w:val="Heading2"/>
      </w:pPr>
      <w:r>
        <w:t>6.2 Clinical - Care Execution</w:t>
      </w:r>
    </w:p>
    <w:p>
      <w:pPr>
        <w:pStyle w:val="ListBullet"/>
        <w:spacing w:after="40"/>
      </w:pPr>
      <w:r>
        <w:t>Patient arrival, identity resolution and registration.</w:t>
      </w:r>
    </w:p>
    <w:p>
      <w:pPr>
        <w:pStyle w:val="ListBullet"/>
        <w:spacing w:after="40"/>
      </w:pPr>
      <w:r>
        <w:t>Queue, sorting, triage, emergency, outpatient and virtual care.</w:t>
      </w:r>
    </w:p>
    <w:p>
      <w:pPr>
        <w:pStyle w:val="ListBullet"/>
        <w:spacing w:after="40"/>
      </w:pPr>
      <w:r>
        <w:t>Adaptive clinical encounter cockpit, structured forms, pathways and deterministic decision support.</w:t>
      </w:r>
    </w:p>
    <w:p>
      <w:pPr>
        <w:pStyle w:val="ListBullet"/>
        <w:spacing w:after="40"/>
      </w:pPr>
      <w:r>
        <w:t>Orders, specimens, results, prescribing, dispensing and medication administration.</w:t>
      </w:r>
    </w:p>
    <w:p>
      <w:pPr>
        <w:pStyle w:val="ListBullet"/>
        <w:spacing w:after="40"/>
      </w:pPr>
      <w:r>
        <w:t>Admission, beds, ward rounds, nursing, transfer, discharge, theatre and procedures.</w:t>
      </w:r>
    </w:p>
    <w:p>
      <w:pPr>
        <w:pStyle w:val="ListBullet"/>
        <w:spacing w:after="40"/>
      </w:pPr>
      <w:r>
        <w:t>Maternity, newborn, paediatrics, adult medicine, surgery and specialty pathways.</w:t>
      </w:r>
    </w:p>
    <w:p>
      <w:pPr>
        <w:pStyle w:val="ListBullet"/>
        <w:spacing w:after="40"/>
      </w:pPr>
      <w:r>
        <w:t>Referral, multidisciplinary collaboration, teleconsultation and remote diagnostics.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Tahoma" w:hAnsi="Tahoma"/>
                <w:b/>
                <w:color w:val="17324D"/>
                <w:sz w:val="18"/>
              </w:rPr>
              <w:t>CLINICAL COMPOSITION PRIORITY</w:t>
              <w:br/>
            </w:r>
            <w:r>
              <w:rPr>
                <w:rFonts w:ascii="Tahoma" w:hAnsi="Tahoma"/>
                <w:sz w:val="18"/>
              </w:rPr>
              <w:t>The principal gap is composition, not absence of domain content. The Clinical Work Experience Pack must connect arrival, patient worklists, care setting, cadre logic, form scopes, age-appropriate triage and pathway activation inside the ordinary encounter.</w:t>
            </w:r>
          </w:p>
        </w:tc>
      </w:tr>
    </w:tbl>
    <w:p>
      <w:pPr>
        <w:spacing w:after="0"/>
      </w:pPr>
    </w:p>
    <w:p>
      <w:pPr>
        <w:pStyle w:val="Heading2"/>
      </w:pPr>
      <w:r>
        <w:t>6.3 Public Health, Data &amp; Governance</w:t>
      </w:r>
    </w:p>
    <w:p>
      <w:r>
        <w:t>Public-health and local-authority variation is implemented through shared platform capabilities and versioned jurisdiction packs. City Health is a configured instance of a broader Public Health Operations capability, not a disconnected municipal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Canonical operational object</w:t>
            </w:r>
          </w:p>
        </w:tc>
        <w:tc>
          <w:tcPr>
            <w:tcW w:type="dxa" w:w="7344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Examples of use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Premises / regulated site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Markets, schools, water points, waste sites, ports, food premises, abattoirs and similar locations</w:t>
            </w:r>
          </w:p>
        </w:tc>
      </w:tr>
      <w:tr>
        <w:tc>
          <w:tcPr>
            <w:tcW w:type="dxa" w:w="345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Geographic area / ward / zone / catchment</w:t>
            </w:r>
          </w:p>
        </w:tc>
        <w:tc>
          <w:tcPr>
            <w:tcW w:type="dxa" w:w="73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Jurisdiction, surveillance, deployment and reporting boundaries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Public-health event / complaint / signal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Surveillance, citizen reports, alerts and operational escalation</w:t>
            </w:r>
          </w:p>
        </w:tc>
      </w:tr>
      <w:tr>
        <w:tc>
          <w:tcPr>
            <w:tcW w:type="dxa" w:w="345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Inspection / investigation / finding</w:t>
            </w:r>
          </w:p>
        </w:tc>
        <w:tc>
          <w:tcPr>
            <w:tcW w:type="dxa" w:w="73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Environmental health, compliance, laboratory and enforcement workflows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Notice / enforcement action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Corrective action, closure, follow-up and legal traceability</w:t>
            </w:r>
          </w:p>
        </w:tc>
      </w:tr>
      <w:tr>
        <w:tc>
          <w:tcPr>
            <w:tcW w:type="dxa" w:w="3456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Outbreak / incident / response task</w:t>
            </w:r>
          </w:p>
        </w:tc>
        <w:tc>
          <w:tcPr>
            <w:tcW w:type="dxa" w:w="73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Coordination, deployment, logistics, communications and after-action review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Campaign / outreach session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Immunisation, screening, community services and programme operations</w:t>
            </w:r>
          </w:p>
        </w:tc>
      </w:tr>
    </w:tbl>
    <w:p>
      <w:pPr>
        <w:spacing w:after="0"/>
      </w:pPr>
    </w:p>
    <w:p>
      <w:pPr>
        <w:pStyle w:val="Heading2"/>
      </w:pPr>
      <w:r>
        <w:t>6.4 Coverage, Financing &amp; Payer</w:t>
      </w:r>
    </w:p>
    <w:p>
      <w:pPr>
        <w:pStyle w:val="ListBullet"/>
        <w:spacing w:after="40"/>
      </w:pPr>
      <w:r>
        <w:t>Scheme, plan, package and benefit administration.</w:t>
      </w:r>
    </w:p>
    <w:p>
      <w:pPr>
        <w:pStyle w:val="ListBullet"/>
        <w:spacing w:after="40"/>
      </w:pPr>
      <w:r>
        <w:t>Membership, beneficiary enrolment, coverage periods, waiting periods, exclusions and limits.</w:t>
      </w:r>
    </w:p>
    <w:p>
      <w:pPr>
        <w:pStyle w:val="ListBullet"/>
        <w:spacing w:after="40"/>
      </w:pPr>
      <w:r>
        <w:t>Provider contracting, network management and tariff schedules.</w:t>
      </w:r>
    </w:p>
    <w:p>
      <w:pPr>
        <w:pStyle w:val="ListBullet"/>
        <w:spacing w:after="40"/>
      </w:pPr>
      <w:r>
        <w:t>Eligibility, preauthorisation, utilisation review and financial clearance.</w:t>
      </w:r>
    </w:p>
    <w:p>
      <w:pPr>
        <w:pStyle w:val="ListBullet"/>
        <w:spacing w:after="40"/>
      </w:pPr>
      <w:r>
        <w:t>Claims capture, coding edits, adjudication, appeals and integrity review.</w:t>
      </w:r>
    </w:p>
    <w:p>
      <w:pPr>
        <w:pStyle w:val="ListBullet"/>
        <w:spacing w:after="40"/>
      </w:pPr>
      <w:r>
        <w:t>Contributions, invoices, receipts, arrears, subsidies and co-financing.</w:t>
      </w:r>
    </w:p>
    <w:p>
      <w:pPr>
        <w:pStyle w:val="ListBullet"/>
        <w:spacing w:after="40"/>
      </w:pPr>
      <w:r>
        <w:t>Provider payments, remittance, settlement, reversal, reconciliation and recovery.</w:t>
      </w:r>
    </w:p>
    <w:p>
      <w:r>
        <w:t>Financing capabilities consume shared sovereign identity, provider, facility, terminology, clinical, pricing, audit and payment truth. They do not create private copies of the national master data merely because a payer operates a separate workspace.</w:t>
      </w:r>
    </w:p>
    <w:p>
      <w:pPr>
        <w:pStyle w:val="Heading2"/>
      </w:pPr>
      <w:r>
        <w:t>6.5 Supply, Assets &amp; Logistics</w:t>
      </w:r>
    </w:p>
    <w:p>
      <w:pPr>
        <w:pStyle w:val="ListBullet"/>
        <w:spacing w:after="40"/>
      </w:pPr>
      <w:r>
        <w:t>Medicines, commodities, stock, procurement and distribution.</w:t>
      </w:r>
    </w:p>
    <w:p>
      <w:pPr>
        <w:pStyle w:val="ListBullet"/>
        <w:spacing w:after="40"/>
      </w:pPr>
      <w:r>
        <w:t>Specimen, blood, document, courier and other dispatch workflows.</w:t>
      </w:r>
    </w:p>
    <w:p>
      <w:pPr>
        <w:pStyle w:val="ListBullet"/>
        <w:spacing w:after="40"/>
      </w:pPr>
      <w:r>
        <w:t>Devices, equipment, maintenance, calibration and asset registries.</w:t>
      </w:r>
    </w:p>
    <w:p>
      <w:pPr>
        <w:pStyle w:val="ListBullet"/>
        <w:spacing w:after="40"/>
      </w:pPr>
      <w:r>
        <w:t>Facility-specific integration with eLMIS, analysers, printers, PACS and other local systems.</w:t>
      </w:r>
    </w:p>
    <w:p>
      <w:pPr>
        <w:pStyle w:val="Heading2"/>
      </w:pPr>
      <w:r>
        <w:t>6.6 Intelligence, Automation &amp;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504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Permitted role</w:t>
            </w:r>
          </w:p>
        </w:tc>
        <w:tc>
          <w:tcPr>
            <w:tcW w:type="dxa" w:w="388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Human control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I1 - Insight only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Dashboards, trends, summaries and anomaly hints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No direct operational effect</w:t>
            </w:r>
          </w:p>
        </w:tc>
      </w:tr>
      <w:tr>
        <w:tc>
          <w:tcPr>
            <w:tcW w:type="dxa" w:w="244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I2 - Recommendation</w:t>
            </w:r>
          </w:p>
        </w:tc>
        <w:tc>
          <w:tcPr>
            <w:tcW w:type="dxa" w:w="504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Risk scoring, prioritisation, coding suggestions and decision support</w:t>
            </w:r>
          </w:p>
        </w:tc>
        <w:tc>
          <w:tcPr>
            <w:tcW w:type="dxa" w:w="388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Explicit human acceptance or override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I3 - Governed low-risk automation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Queue routing, reminder prioritisation and low-risk classification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Explicit approval, monitoring, rollback and audit</w:t>
            </w:r>
          </w:p>
        </w:tc>
      </w:tr>
    </w:tbl>
    <w:p>
      <w:pPr>
        <w:spacing w:after="0"/>
      </w:pPr>
    </w:p>
    <w:p>
      <w:r>
        <w:t>No AI capability may silently finalise high-risk clinical care, enforcement, entitlement, claims or settlement decisions. Model identity, version, context, timestamp, confidence where relevant and human action must be recorded.</w:t>
      </w:r>
    </w:p>
    <w:p>
      <w:pPr>
        <w:pStyle w:val="Heading2"/>
      </w:pPr>
      <w:r>
        <w:t>6.7 Experience</w:t>
      </w:r>
    </w:p>
    <w:p>
      <w:pPr>
        <w:pStyle w:val="ListBullet"/>
        <w:spacing w:after="40"/>
      </w:pPr>
      <w:r>
        <w:t>Public experience and care discovery before sign-in.</w:t>
      </w:r>
    </w:p>
    <w:p>
      <w:pPr>
        <w:pStyle w:val="ListBullet"/>
        <w:spacing w:after="40"/>
      </w:pPr>
      <w:r>
        <w:t>My Life: personal health, PHR, consent, coverage, payments, wellness and delegated care.</w:t>
      </w:r>
    </w:p>
    <w:p>
      <w:pPr>
        <w:pStyle w:val="ListBullet"/>
        <w:spacing w:after="40"/>
      </w:pPr>
      <w:r>
        <w:t>My Professional: provider identity, licence, CPD, regulatory self-service, portfolio and invitations.</w:t>
      </w:r>
    </w:p>
    <w:p>
      <w:pPr>
        <w:pStyle w:val="ListBullet"/>
        <w:spacing w:after="40"/>
      </w:pPr>
      <w:r>
        <w:t>Work: active organisation, facility, department, role, shift and operational workflows.</w:t>
      </w:r>
    </w:p>
    <w:p>
      <w:pPr>
        <w:pStyle w:val="ListBullet"/>
        <w:spacing w:after="40"/>
      </w:pPr>
      <w:r>
        <w:t>Organisation, facility, regulatory, node-operations and platform-administration experiences.</w:t>
      </w:r>
    </w:p>
    <w:p>
      <w:pPr>
        <w:pStyle w:val="ListBullet"/>
        <w:spacing w:after="40"/>
      </w:pPr>
      <w:r>
        <w:t>Nompilo guidance, journey persistence, the action centre, help and escalation.</w:t>
      </w:r>
    </w:p>
    <w:p>
      <w:pPr>
        <w:pStyle w:val="Heading1"/>
      </w:pPr>
      <w:r>
        <w:t>7. Cross-plane product laws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Law</w:t>
            </w:r>
          </w:p>
        </w:tc>
        <w:tc>
          <w:tcPr>
            <w:tcW w:type="dxa" w:w="892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Product rule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Shared truth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Identity, provider, facility, terminology and financial rails are reused wherever lawful; no domain silently creates competing masters.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Module-first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Logical service names do not automatically require separate repositories, deployables or teams. Extraction requires a scaling, resilience, protection, ownership or operational trigger.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Configuration over forks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Jurisdictional, institutional and facility variation uses versioned configuration, forms, workflows, role maps and capability packs.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Clinical safety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Every clinical action declares an authoritative decision and offline/reconciliation posture.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Financial integrity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Money movement, reservation, reimbursement, remittance and settlement are idempotent, auditable, reversible or compensatable, and reconciled.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AI integrity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AI remains assistive by default, governed always, and autonomous only within approved low-risk classes.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 honesty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Unavailable, empty, denied, degraded and stale are distinct product states; no false success or silent redirect.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One product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Hospital profiles are declared, tested configurations of one artefact set; independently maintained hospital forks are prohibited.</w:t>
            </w:r>
          </w:p>
        </w:tc>
      </w:tr>
    </w:tbl>
    <w:p>
      <w:pPr>
        <w:spacing w:after="0"/>
      </w:pPr>
    </w:p>
    <w:p>
      <w:pPr>
        <w:pStyle w:val="Heading1"/>
      </w:pPr>
      <w:r>
        <w:t>8. Experience architecture interface</w:t>
      </w:r>
    </w:p>
    <w:p>
      <w:r>
        <w:t>The Product Architecture defines the domains and capability families. The Experience Architecture defines how a person discovers them, enters the correct audience, resumes a journey, understands state and receives help. This document does not independently specify navigation or journey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4752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Product question answered</w:t>
            </w:r>
          </w:p>
        </w:tc>
        <w:tc>
          <w:tcPr>
            <w:tcW w:type="dxa" w:w="432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Controlling specification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Public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What can Impilo help me do before sign-in?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 Architecture + Pack P1</w:t>
            </w:r>
          </w:p>
        </w:tc>
      </w:tr>
      <w:tr>
        <w:tc>
          <w:tcPr>
            <w:tcW w:type="dxa" w:w="216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My Life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What is happening with my health and what can I do next?</w:t>
            </w:r>
          </w:p>
        </w:tc>
        <w:tc>
          <w:tcPr>
            <w:tcW w:type="dxa" w:w="43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 Architecture + Pack P1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My Professional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Am I professionally ready and what requires action?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 Architecture + Pack P1</w:t>
            </w:r>
          </w:p>
        </w:tc>
      </w:tr>
      <w:tr>
        <w:tc>
          <w:tcPr>
            <w:tcW w:type="dxa" w:w="216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Work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Where am I working and what needs attention now?</w:t>
            </w:r>
          </w:p>
        </w:tc>
        <w:tc>
          <w:tcPr>
            <w:tcW w:type="dxa" w:w="43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 Architecture + Pack P3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Organisation / facility / node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How do we claim, configure, commission and operate?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Pack P2</w:t>
            </w:r>
          </w:p>
        </w:tc>
      </w:tr>
      <w:tr>
        <w:tc>
          <w:tcPr>
            <w:tcW w:type="dxa" w:w="216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Regulatory / oversight</w:t>
            </w:r>
          </w:p>
        </w:tc>
        <w:tc>
          <w:tcPr>
            <w:tcW w:type="dxa" w:w="4752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How do authorities operate complete casework and registers?</w:t>
            </w:r>
          </w:p>
        </w:tc>
        <w:tc>
          <w:tcPr>
            <w:tcW w:type="dxa" w:w="43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Pack P4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4"/>
          </w:tcPr>
          <w:p>
            <w:r>
              <w:rPr>
                <w:rFonts w:ascii="Tahoma" w:hAnsi="Tahoma"/>
                <w:b/>
                <w:color w:val="17324D"/>
                <w:sz w:val="18"/>
              </w:rPr>
              <w:t>EXPERIENCE COMPLETION</w:t>
              <w:br/>
            </w:r>
            <w:r>
              <w:rPr>
                <w:rFonts w:ascii="Tahoma" w:hAnsi="Tahoma"/>
                <w:sz w:val="18"/>
              </w:rPr>
              <w:t>Seven packs govern the journey-level work: P1 public/personal/professional; P2 self-service and commissioning; P3 clinical Work; P4 regulatory; P5 accessibility/localisation/content; P6 design system; P7 human usability and field 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9. Ecosystem and dual-mode participation</w:t>
      </w:r>
    </w:p>
    <w:p>
      <w:r>
        <w:t>National capabilities are designed for Impilo applications, accredited external applications, institutional nodes, payers, research and approved analytics/AI consumers. “Dual mode” is real only when supported by stable contracts, certification, developer tooling and governed deprecation.</w:t>
      </w:r>
    </w:p>
    <w:p>
      <w:pPr>
        <w:pStyle w:val="ListBullet"/>
        <w:spacing w:after="40"/>
      </w:pPr>
      <w:r>
        <w:t>Developer portal, sandbox, mock services, SDKs and API registration.</w:t>
      </w:r>
    </w:p>
    <w:p>
      <w:pPr>
        <w:pStyle w:val="ListBullet"/>
        <w:spacing w:after="40"/>
      </w:pPr>
      <w:r>
        <w:t>Internal and external API surfaces with explicit audiences and rights.</w:t>
      </w:r>
    </w:p>
    <w:p>
      <w:pPr>
        <w:pStyle w:val="ListBullet"/>
        <w:spacing w:after="40"/>
      </w:pPr>
      <w:r>
        <w:t>Contract and schema compatibility testing for partners.</w:t>
      </w:r>
    </w:p>
    <w:p>
      <w:pPr>
        <w:pStyle w:val="ListBullet"/>
        <w:spacing w:after="40"/>
      </w:pPr>
      <w:r>
        <w:t>Integration profiles for clinical, payer, settlement, public-health and analytics participants.</w:t>
      </w:r>
    </w:p>
    <w:p>
      <w:pPr>
        <w:pStyle w:val="ListBullet"/>
        <w:spacing w:after="40"/>
      </w:pPr>
      <w:r>
        <w:t>Certification, conformance evidence, revocation and lifecycle management.</w:t>
      </w:r>
    </w:p>
    <w:p>
      <w:pPr>
        <w:pStyle w:val="Heading1"/>
      </w:pPr>
      <w:r>
        <w:t>10. Production readiness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Evidence family</w:t>
            </w:r>
          </w:p>
        </w:tc>
        <w:tc>
          <w:tcPr>
            <w:tcW w:type="dxa" w:w="8928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6"/>
              </w:rPr>
              <w:t>Minimum proof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Trust and safety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Policy enforcement on the request path, consent and sensitivity controls, break-glass, authority freshness and audit evidence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Federation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Node commissioning, signed exchange, provenance, conflict handling, revocation, reconnection and quarantine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Reliability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SLOs, capacity assumptions, backup/restore, RPO/RTO, disconnection drills and release rollback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Clinical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Arrival-to-discharge workflows, adaptive pathways, orders/results, medication, referral and offline care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Finance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Eligibility, preauthorisation, claim, remittance, settlement, reversal, recovery and reconciliation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Experience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Journey blueprints, web/mobile parity, accessibility, localisation, shared-workstation safety and field validation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Ecosystem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One external integration certified against current contracts and lifecycle rules</w:t>
            </w:r>
          </w:p>
        </w:tc>
      </w:tr>
      <w:tr>
        <w:tc>
          <w:tcPr>
            <w:tcW w:type="dxa" w:w="230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AI</w:t>
            </w:r>
          </w:p>
        </w:tc>
        <w:tc>
          <w:tcPr>
            <w:tcW w:type="dxa" w:w="8928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6"/>
              </w:rPr>
              <w:t>One governed workflow with traceable model use, human override, monitoring and rollback</w:t>
            </w:r>
          </w:p>
        </w:tc>
      </w:tr>
    </w:tbl>
    <w:p>
      <w:pPr>
        <w:spacing w:after="0"/>
      </w:pPr>
    </w:p>
    <w:p>
      <w:pPr>
        <w:pStyle w:val="Heading1"/>
      </w:pPr>
      <w:r>
        <w:t>11. Product governance</w:t>
      </w:r>
    </w:p>
    <w:p>
      <w:pPr>
        <w:pStyle w:val="ListBullet"/>
        <w:spacing w:after="40"/>
      </w:pPr>
      <w:r>
        <w:t>Capability ownership is explicit: every canonical object, policy, workflow and projection has one accountable owner.</w:t>
      </w:r>
    </w:p>
    <w:p>
      <w:pPr>
        <w:pStyle w:val="ListBullet"/>
        <w:spacing w:after="40"/>
      </w:pPr>
      <w:r>
        <w:t>The Target Architecture changes only through ADRs and named governance decisions.</w:t>
      </w:r>
    </w:p>
    <w:p>
      <w:pPr>
        <w:pStyle w:val="ListBullet"/>
        <w:spacing w:after="40"/>
      </w:pPr>
      <w:r>
        <w:t>Product capability changes update this document; wire contracts update the Technical Standards Catalogue and machine-readable specifications.</w:t>
      </w:r>
    </w:p>
    <w:p>
      <w:pPr>
        <w:pStyle w:val="ListBullet"/>
        <w:spacing w:after="40"/>
      </w:pPr>
      <w:r>
        <w:t>Journey or visual changes belong to Experience Completion Packs and the versioned Design System unless they alter an architecture invariant.</w:t>
      </w:r>
    </w:p>
    <w:p>
      <w:pPr>
        <w:pStyle w:val="ListBullet"/>
        <w:spacing w:after="40"/>
      </w:pPr>
      <w:r>
        <w:t>Any legacy document marked “canonical” or “frozen” is subordinate once a successor is ratified and must carry a supersession notice.</w:t>
      </w:r>
    </w:p>
    <w:p>
      <w:pPr>
        <w:pStyle w:val="Heading1"/>
      </w:pPr>
      <w:r>
        <w:t>Appendix A. Legacy V3 disposition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Legacy section</w:t>
            </w:r>
          </w:p>
        </w:tc>
        <w:tc>
          <w:tcPr>
            <w:tcW w:type="dxa" w:w="1944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Disposition</w:t>
            </w:r>
          </w:p>
        </w:tc>
        <w:tc>
          <w:tcPr>
            <w:tcW w:type="dxa" w:w="6120"/>
            <w:vAlign w:val="center"/>
            <w:shd w:fill="0B6F73"/>
          </w:tcPr>
          <w:p>
            <w:r/>
            <w:r>
              <w:rPr>
                <w:rFonts w:ascii="Tahoma" w:hAnsi="Tahoma" w:eastAsia="Tahoma"/>
                <w:b/>
                <w:color w:val="FFFFFF"/>
                <w:sz w:val="15"/>
              </w:rPr>
              <w:t>Successor treatment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0. Purpose of rewrite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REFRAME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Retained as historical rationale; successor purpose is product-and-capability governance.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1. Executive summary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AMEND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National Health OS vision; replace National Spine/Sovereign Pod terminology with National Core, trust domains, Hospital Nodes and consumption profiles.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2.1-2.6 capability planes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AMEND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mandates; clarify cross-cutting integration/execution frameworks and current named products.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2.7 Experience Plane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MOVE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Keep only product role and pointer; detailed model belongs to Experience Architecture and packs.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2.8 Public Health reuse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Binding product law.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2.9 Financing reuse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Binding product law.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2.10 AI governance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Binding product law, refined by Technical Standards Catalogue.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3. Architecture laws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DISTRIBUTE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Product-level laws retained here; request context, federation, event and enforcement details move to technical standards and target architecture.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4. Ring 0 service catalogue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UPDATE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capability ownership; correct Tshepo as trust layer and Butano as governed projections.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5. Pod model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SUPERSEDE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Replaced by trust domains, nodes, service profiles, commissioning and federation gateway.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5.1A Jurisdiction packs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Remain versioned configuration artefacts, never forks.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5.2 Federation protocol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MOVE / SUPERSEDE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Product principle retained; protocol moves to Target Architecture and Technical Standards Catalogue.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6. Clinical safety model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AMEND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Keep classes and evidence; “synchronous Kernel” becomes authoritative local or national decision according to trust source.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7. Data/events/read models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DISTRIBUTE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Canonical object catalogues stay here; envelopes and projection rules move to technical standards.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8. Operational architecture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MOVE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Reliability principles remain; implementation standards move to technical catalogue and node profiles.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9. Dual-mode services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MOVE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Product ecosystem principle remains; APIs and certification move to technical standards.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10. Ring strategy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AMEND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Rings are dependency/maturity, never deployment or authority.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11. Component model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UPDATE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module-first discipline and align to current product names.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12. One UI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MOVE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Three domains retained; all navigation, state and journeys governed elsewhere.</w:t>
            </w:r>
          </w:p>
        </w:tc>
      </w:tr>
      <w:tr>
        <w:tc>
          <w:tcPr>
            <w:tcW w:type="dxa" w:w="302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13. Production-ready definition</w:t>
            </w:r>
          </w:p>
        </w:tc>
        <w:tc>
          <w:tcPr>
            <w:tcW w:type="dxa" w:w="1944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 / EXPAND</w:t>
            </w:r>
          </w:p>
        </w:tc>
        <w:tc>
          <w:tcPr>
            <w:tcW w:type="dxa" w:w="6120"/>
            <w:vAlign w:val="center"/>
            <w:shd w:fill="F7FAFA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Recast as evidence families aligned to current target acceptance gates.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14. Final position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RETAIN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5"/>
              </w:rPr>
              <w:t>Impilo is national DPI, not a large app.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Document hierarchy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Hybrid / Federated Target Architecture - controlling federation, trust, deployment, experience-model and commissioning architecture.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Product, Capability and Plane Architecture - this document; defines product scope and capability ownership.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Technical Standards Catalogue - governs machine and operational conformance.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Experience Completion Packs and domain specifications - complete journeys and domain behaviour.</w:t>
      </w:r>
    </w:p>
    <w:p>
      <w:pPr>
        <w:spacing w:after="40"/>
        <w:ind w:left="317" w:hanging="317"/>
      </w:pPr>
      <w:r>
        <w:rPr>
          <w:b/>
        </w:rPr>
        <w:t xml:space="preserve">5.  </w:t>
      </w:r>
      <w:r>
        <w:t>Machine-readable and operational artefacts - ADRs, APIs, events, schemas, policies, migrations, Helm, tests and runbooks.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68737D"/>
        <w:sz w:val="16"/>
      </w:rPr>
      <w:t>Impilo vNext  |  Controlled successor draft  |  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/>
        <w:color w:val="5B6570"/>
        <w:sz w:val="16"/>
      </w:rPr>
      <w:t>Product &amp; Capability Architecture  |  Version 2.0 - Controlled Successor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ahoma" w:hAnsi="Tahoma" w:eastAsia="Tahom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ahoma" w:hAnsi="Tahoma" w:eastAsia="Tahoma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360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