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ASD ASDF, MANAGER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ASD ASDF,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asd asdf</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ASD ASDF,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asd asdf,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asd asdf.</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1234 sf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business or umbrella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pigeons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pigeons)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pigeons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racoons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racoons)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racoons at the SUBJECT PROPERTY during the past seven (7) years.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ASD ASDF‘S,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28">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43">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57">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1">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8">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