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ASD ASDF‘S,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asd asdf</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ASD ASDF AND THEIR ATTORNEYS OF RECORD (IF OBTAINED):</w:t>
      </w:r>
    </w:p>
    <w:p>
      <w:pPr>
        <w:pStyle w:val="Text"/>
        <w:spacing w:lineRule="auto" w:line="480"/>
        <w:rPr/>
      </w:pPr>
      <w:r>
        <w:rPr>
          <w:szCs w:val="24"/>
        </w:rPr>
        <w:t xml:space="preserve">Plaintiff </w:t>
      </w:r>
      <w:r>
        <w:rPr>
          <w:szCs w:val="24"/>
        </w:rPr>
        <w:t xml:space="preserve">requests that Defendant(s), asd asdf,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asd asdf, and includes any and all of its agents, representatives, employees, servants, consultants, supervisors, contractors, subcontractors, investigators, attorneys, and any other persons or entities acting on purporting to act on behalf of Defendant(s), ASD ASDF.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1234 sf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ASD ASDF,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