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ASDF DSAF,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ASDF DSAF‘S,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asdf dsaf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asdf dsaf, </w:t>
      </w:r>
      <w:r>
        <w:rPr>
          <w:rFonts w:ascii="Times New Roman" w:hAnsi="Times New Roman"/>
          <w:sz w:val="24"/>
          <w:szCs w:val="24"/>
        </w:rPr>
        <w:t>and to the Attorneys of Record for Defendant, asdf dsaf;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asdf dsaf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asdf dsaf and includes any and all of its agents, representatives, employees, servants, consultants, supervisors, contractors, subcontractors, investigators, attorneys, and any other persons or entities acting on purporting to act on behalf of Defendant, asdf dsaf.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ASDF DSAF‘S,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