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ASDF DSAF‘S, </w:t>
            </w:r>
            <w:r>
              <w:rPr>
                <w:rFonts w:eastAsia="Courier New"/>
                <w:b/>
                <w:bCs/>
                <w:kern w:val="2"/>
                <w:lang w:val="en-US" w:eastAsia="en-US" w:bidi="ar-SA"/>
              </w:rPr>
              <w:t>SET NO. (2) Two</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asdf dsaf</w:t>
      </w:r>
    </w:p>
    <w:p>
      <w:pPr>
        <w:pStyle w:val="Text"/>
        <w:spacing w:lineRule="auto" w:line="480"/>
        <w:ind w:left="0" w:right="0" w:hanging="0"/>
        <w:rPr/>
      </w:pPr>
      <w:r>
        <w:rPr>
          <w:szCs w:val="24"/>
        </w:rPr>
        <w:t xml:space="preserve">Set No.:                    </w:t>
      </w:r>
      <w:r>
        <w:rPr>
          <w:b/>
          <w:bCs/>
          <w:szCs w:val="24"/>
        </w:rPr>
        <w:t>Two (2)</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ASDF DSAF AND THEIR ATTORNEYS OF RECORD (IF OBTAINED):</w:t>
      </w:r>
    </w:p>
    <w:p>
      <w:pPr>
        <w:pStyle w:val="Text"/>
        <w:spacing w:lineRule="auto" w:line="480"/>
        <w:rPr/>
      </w:pPr>
      <w:r>
        <w:rPr>
          <w:szCs w:val="24"/>
        </w:rPr>
        <w:t xml:space="preserve">Plaintiff </w:t>
      </w:r>
      <w:r>
        <w:rPr>
          <w:szCs w:val="24"/>
        </w:rPr>
        <w:t xml:space="preserve">requests that Defendant(s), asdf dsaf,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asdf dsaf, and includes any and all of its agents, representatives, employees, servants, consultants, supervisors, contractors, subcontractors, investigators, attorneys, and any other persons or entities acting on purporting to act on behalf of Defendant(s), ASDF DSAF.</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ASDF DSAF, SET (2) Two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16">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25">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33">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4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56">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