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True and correct copies of any and all grant deeds identifying the owner(s) of the PROPERTY, including but not limited to, YOUR ownership and or prior owners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FINANCIAL STATEMENTS pertaining to the PROPERTY since YOU or any entity YOU own or control purchased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VIOLATION NOTICES pertaining to the PROPERTY since YOU or any entity YOU own or control purchased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employment of any and all personnel involved with YOUR PROPERTY in any way during that time that YOU owned the PROPERTY, including but not limited to brokers, real estate agents, caretakers, managers, PROPERTY managers, contractors, construction workers, plumbers, electricians, maintenance workers, security guards, and receptionists.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sent and received between YOU and any employee regarding the management of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homeowner’s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each person who participated in or influenced any decision to deny repair request(s)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showing when and how DEFENDANTS first became aware of PLAINTIFF(S)’ age(s), including correspondence, applications, tenant files, or identification records.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the housing decision(s) regarding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under the age of forty (40) who received more favorable terms, repairs, or services during the same time period PLAINTIFF(S) lived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explain any difference in treatment between PLAINTIFF(S) and the tenants identified in YOUR response to the previous request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written or unwritten policies, guidelines, manuals, or procedures in effect during PLAINTIFF(S)’ tenancy relating to allocation of repairs or services.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policy, formal or informal, concerning housing for tenants over a certain 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oral or written communications in which YOU or YOUR agents made reference to PLAINTIFF(S)’ age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regarding preferring younger tenants.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administrative charges, or legal claims alleging age discrimination in housing made against YOU in the past ten (10) years, including any DOCUMENTS reflecting the resolution or settlement of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investigation conducted into PLAINTIFF(S)’ allegations of age discrimination, including investigator notes, reports, and findings.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consideration of a tenant’s age in making decisions about rent increases.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over the age of sixty (60) who were issued a notice to quit, notice to vacate, or nonrenewal of lease in the past ten (10) years, including the reasons for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offering of housing units, amenities, or services exclusively or preferentially to tenants under a certain 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advertisements, listings, or promotional materials for the subject PROPERTY in the past ten (10) years that made reference to preferred tenant age, lifestyle, or “young professionals,” including drafts and communications about their creation.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instance where YOU denied a repair request from PLAINTIFF(S) and granted a similar request from a younger tenant.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occasions in the past ten (10) years where YOU relocated tenants over a certain age to different units, including the reasons for each relocation.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about older tenants being “harder to insure,” “too old to climb stairs,” or other agerelated remarks.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occasions in the past ten (10) years where YOU offered lease incentives (such as reduced rent or free upgrades) to younger tenants but not to older tenants.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discussions with insurance providers, lenders, or PROPERTY managers regarding tenant age demographics.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persons who have complained to YOU or YOUR agents about alleged age discrimination in housing within the past ten (10) years, including YOUR responses to each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each person who participated in or influenced the decision to issue notices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showing when and how each such person first became aware of PLAINTIFF(S)’ disability, including correspondence, notes, emails, applications, or tenant files.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any adverse housing decision regarding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each request for reasonable accommodation made by PLAINTIFF(S), including the date, nature of the request, and YOUR response.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any denial, delay, or modification of PLAINTIFF(S)’ request for accommodation.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occasion in which YOU granted a reasonable accommodation to a tenant without a disability while denying a similar accommodation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without disabilities who were granted housing, lease renewals, repairs, or modifications under similar circumstances as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explain any difference in treatment between PLAINTIFF(S) and the tenants identified in response to the previous two 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with disabilities who have resided at the PROPERTY within the past ten (10) years, including whether they received accommodations.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written or unwritten policies, guidelines, manuals, or procedures in effect during PLAINTIFF(S)’ tenancy relating to disability accommodations, modifications, tenant selection, lease renewal, rent increases, repairs, or eviction.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All training materials, manuals, handbooks, or other documents provided to employees or agents regarding disability rights, reasonable accommodations, or modifications.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persons responsible for implementing YOUR disability accommodation policies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oral or written communications in which YOU or YOUR agents made reference to PLAINTIFF(S)’ disability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about tenants with disabilities being “too costly,” “too difficult,” or otherwise undesirable.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YOU and any third party (including but not limited to PROPERTY managers, HOAs, insurance providers, or lenders) regarding PLAINTIFF(S)’ disability.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administrative charges, or lawsuits alleging disability discrimination in housing made against YOU in the past ten (10) years, including any DOCUMENTS reflecting the resolution or settlement of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investigation conducted into PLAINTIFF(S)’ allegations of disability discrimination, including investigator notes, reports, and findings.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contact by any government agency regarding alleged disability discrimination in housing, including correspondence, notices, or investigation results.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instances in the past ten (10) years where YOU took adverse action against a tenant after they requested a disabilityrelated accommodation, including the reasons for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discussion, consideration, or record of the presence of a service animal, mobility aid, or other disabilityrelated device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procedure for collecting and documenting security deposits from tenants at the commencement of a lease.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standard procedure for conducting initial walkthroughs with tenants upon movein, including how damages or conditions are noted.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policy for scheduling final walkthroughs with tenants upon moveout.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use or require for recording the condition of the PROPERTY during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procedure for notifying tenants about the scheduling of a final walkthrough, including notice templates, emails, or letters.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circumstances under which YOU would proceed with deductions from a security deposit without conducting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instances in which YOU returned a security deposit more than 21 days after the tenant vacated the PROPERTY, including the tenant’s name, address, and dates.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reasons for any security deposit returned more than 21 days after a tenant vacated.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instances in which YOU did not return a security deposit more than 21 days after the tenant vacated the PROPERTY, including the tenant’s name, address, and dates.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reasons for any security deposit was not returned more than 21 days after a tenant vacated.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or correspondence from tenants regarding the handling or return of security deposits 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resolution of each complaint identified in the previous request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YOUR standard timeline for returning security deposits to tenants after they vacate.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YOUR procedure if a tenant disputes deductions from their security deposit.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policy for conducting security deposit returns when a final walkthrough is not performed.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reasons why YOU might not conduct a final walkthrough with a tenant.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each instance where YOU returned a security deposit in full or in part without conducting a final walkthrough, including tenant name(s) and dates.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explaining why a walkthrough was not conducted in the instances identified in the previous request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accounting procedure for tracking security deposits, including how funds are held, interest (if any), and reconciliation upon return.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training materials, manuals, or guidelines provided to YOUR staff or agents regarding the handling of security deposits, walkthroughs, and compliance with the 21day return requirement.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supporting YOUR compliance with legal requirements to return or itemize security deposits within 21 days of a tenant vacating.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changes to YOUR procedures for security deposits, walkthroughs, or returns over the past ten (10) years, including the reasons for such changes.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7">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